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132/II vom 10. Juli 2009</w:t>
      </w:r>
    </w:p>
    <w:p>
      <w:r>
        <w:t>VD Tribunal cantonal, 2009-07-10, FR</w:t>
      </w:r>
    </w:p>
    <w:p>
      <w:r>
        <w:rPr>
          <w:b/>
        </w:rPr>
        <w:t xml:space="preserve">Quelle: </w:t>
      </w:r>
      <w:r>
        <w:t>https://mcp.opencaselaw.ch/entscheid/vd_findinfo_132_II</w:t>
      </w:r>
    </w:p>
    <w:p>
      <w:r>
        <w:t>FR: VD_FINDINFO 132/II du 10 juillet 2009</w:t>
      </w:r>
    </w:p>
    <w:p>
      <w:r>
        <w:t>IT: VD_FINDINFO 132/II del 10 luglio 2009</w:t>
      </w:r>
    </w:p>
    <w:p>
      <w:pPr>
        <w:pStyle w:val="Heading2"/>
      </w:pPr>
      <w:r>
        <w:t>Regeste</w:t>
      </w:r>
    </w:p>
    <w:p>
      <w:r>
        <w:t>OBLIGATION D'ENTRETIEN, ENFANT, CALCUL, SITUATION FINANCIÈRE | 133 al. 1 CC, 280 al. 2 CC, 285 al. 1 CC, 444 al. 1 ch. 3 CPC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et ss CPC [Code de procédure civile du 14 décembre 1966; RSV 270.11]). La voie du recours en nullité (art. 444 et 445 CPC) et en réforme (art. 451 ch. 2 CPC) est ouverte contre un jugement principal rendu par un tribunal d'arrondissement. En l'espèce, le recours, déposé à temps, est formellement recevable. Il tend à la réforme du jugement, subsidiairement à la nullité.</w:t>
      </w:r>
    </w:p>
    <w:p>
      <w:r>
        <w:rPr>
          <w:b/>
        </w:rPr>
        <w:t>E. 2</w:t>
      </w:r>
    </w:p>
    <w:p>
      <w:r>
        <w:t>CPC). Les parties ne peuvent, en principe, articuler des faits nouveaux, sous réserve de ceux résultant du dossier et qui auraient dû être retenus ou de ceux pouvant résulter d'une instruction complémentaire selon l'art. 456a CPC (art. 452 al. 1ter CPC; JT 2003 III 3). Toutefois, en matière de divorce, l'art. 138 CC (Code civil suisse du 10 décembre 1907; RS 210), repris à l'art. 374c CPC, déroge aux règles de la procédure cantonale (art. 452 al. 1, 1ter et 2 et 456a CPC; Poudret/Haldy/Tappy, Procédure civile vaudoise,</w:t>
      </w:r>
    </w:p>
    <w:p>
      <w:r>
        <w:rPr>
          <w:b/>
        </w:rPr>
        <w:t>E. 3</w:t>
      </w:r>
    </w:p>
    <w:p>
      <w:r>
        <w:t>a) En réforme, la recourante se plaint de l'absence de paliers liés à l'âge de l'enfant et à ses besoins. Elle soutient également l'application de la méthode zurichoise à la fixation des montants de la rente. b) Le Tribunal fédéral a avalisé la méthode forfaitaire telle qu'appliquée dans le canton de Vaud, pour autant que la contribution d'entretien reste en rapport avec le niveau de vie et la capacité contributive du débiteur, le taux pouvant devoir être pondéré au vu des circonstances et selon l'équité (TF, 5A_84/2007 du 18 septembre 2007 reproduit in Revue du droit de la tutelle 2007, p. 299; 5A_ 178/2008 du 23 avril 2008 ad Crec VD, c. 3.3). Il n'y a dès lors aucune raison d'appliquer la méthode zurichoise. c) Les seuils sont généralement fixés à six ans (âge d'entrée en scolarité obligatoire), dix ou douze ans (passage en scolarité de niveau secondaire) et seize ans (fin de la scolarité obligatoire; Meier/Stettler, Droit de la filiation, t. II, Effets de la filiation, 3 ème éd., n. 546 p. 302; Spühler/Frei-Maurer, Berner Kommentar Ergänzungsband 1991, n. 258 ad art. 156 CC, p. 256). La Chambre des recours du Tribunal cantonal vaudois n'a pas établi de règle uniforme pour la fixation de ces âges paliers, ni pour leur nombre; elle a aussi admis des paliers à cinq ou sept, douze et quinze ans; elle tient compte de toutes les circonstances de chaque cas particulier (art.</w:t>
      </w:r>
    </w:p>
    <w:p>
      <w:r>
        <w:rPr>
          <w:b/>
        </w:rPr>
        <w:t>E. 4</w:t>
      </w:r>
    </w:p>
    <w:p>
      <w:r>
        <w:t>Dès lors que les dépens de première instance n'ont pas été contestés, il n'y a pas lieu de modifier la décision des premiers juges sur ce point.</w:t>
      </w:r>
    </w:p>
    <w:p>
      <w:r>
        <w:rPr>
          <w:b/>
        </w:rPr>
        <w:t>E. 5</w:t>
      </w:r>
    </w:p>
    <w:p>
      <w:r>
        <w:t>En conclusion, le recours doit être partiellement admis et le jugement réformé au chiffre IV de son dispositif en ce sens que l'intimé doit contribuer à l'entretien de son enfant D.U.________ par le versement d'une pension mensuelle de 880 fr., allocations familiales en sus, dès l'âge de 15 ans. Les frais de deuxième instance de la recourante sont arrêtés à 300 fr. (art. 233 al. 1 TFJC [tarif du 4 décembre 1984 des frais judiciaires en matière civile; RSV 270.11.5]). Obtenant gain de cause, la recourante a droit à des dépens de deuxième instance, qu'il convient d'arrêter à 1'500 fr. (art. 91 et 92 CPC; art. 2 al. 1 ch. 33 Tav [Tarif du 17 juin 1986 des honoraires d'avocat dus à titre de dépens; RSV 177.11.3). Par ces motifs, la Chambre des recours du Tribunal cantonal, statuant à huis clos, prononce : I. Le recours est admis. II. Le jugement est réformé comme il suit à son chiffre IV : IV.- Dit que C.U.________ contribuera à l'entretien de l'enfant D.U.________ par le versement d'une pension mensuelle, allocations familiales ou de formation en sus, payable d'avance le premier de chaque mois en mains de B.U.________, de : - 750 fr. (sept cent cinquante francs) par mois jusqu'à l'âge de 15 ans révolus, - 880 fr. (huit cent huitante francs) par mois jusqu'à la majorité de l'enfant ou la fin de la formation de celui-ci, achevée dans des délais normaux. Le jugement est confirmé pour le surplus. III. Les frais de deuxième instance de la recourante sont arrêtés à 300 fr. (trois cents francs). IV. L'intimé C.U.________ doit payer à la recourante B.U.________ la somme de 1'500 fr. (mille cinq cents francs) à titre de dépens de deuxième instance. V. L'arrêt motivé est exécutoire. L e président : L e greffi er : Du 10 juillet 2009 Le dispositif de l'arrêt qui précède est communiqué par écrit aux intéressés. L e greffi er : Du L'arrêt qui précède, dont la rédaction a été approuvée à huis clos, est notifié en expédition complète, par l'envoi de photocopies, à : ‑      Me Sandra Genier Müller, avocate (pour B.U.________), ‑      Me Nicolas Perret, avocat (pour C.U.________).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