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131/II vom 8. Juli 2009</w:t>
      </w:r>
    </w:p>
    <w:p>
      <w:r>
        <w:t>VD Tribunal cantonal, 2009-07-08, FR</w:t>
      </w:r>
    </w:p>
    <w:p>
      <w:r>
        <w:rPr>
          <w:b/>
        </w:rPr>
        <w:t xml:space="preserve">Quelle: </w:t>
      </w:r>
      <w:r>
        <w:t>https://mcp.opencaselaw.ch/entscheid/vd_findinfo_131_II</w:t>
      </w:r>
    </w:p>
    <w:p>
      <w:r>
        <w:t>FR: VD_FINDINFO 131/II du 8 juillet 2009</w:t>
      </w:r>
    </w:p>
    <w:p>
      <w:r>
        <w:t>IT: VD_FINDINFO 131/II del 8 luglio 2009</w:t>
      </w:r>
    </w:p>
    <w:p>
      <w:pPr>
        <w:pStyle w:val="Heading2"/>
      </w:pPr>
      <w:r>
        <w:t>Regeste</w:t>
      </w:r>
    </w:p>
    <w:p>
      <w:r>
        <w:t>DIVORCE, CONVENTION SUR LES EFFETS ACCESSOIRES DU DIVORCE, PROCÉDURE CIVILE | 111 al. 2 CC, 111 CC, 116 CC</w:t>
      </w:r>
    </w:p>
    <w:p>
      <w:pPr>
        <w:pStyle w:val="Heading2"/>
      </w:pPr>
      <w:r>
        <w:t>Erwägungen</w:t>
      </w:r>
    </w:p>
    <w:p>
      <w:r>
        <w:rPr>
          <w:b/>
        </w:rPr>
        <w:t>E. 1</w:t>
      </w:r>
    </w:p>
    <w:p>
      <w:r>
        <w:t>Les voies du recours en nullité (art. 444 et 445 CPC) et du recours en réforme (art. 451 ch. 2 CPC) sont ouvertes contre un jugement de divorce rendu par un tribunal d'arrondissement statuant en procédure accélérée. Les recours interjetés en temps utile par chaque partie sont recevables en la forme. Il convient d'examiner en premier lieu les moyens de la recourante, qui a conclu à la nullité et à la réforme.</w:t>
      </w:r>
    </w:p>
    <w:p>
      <w:r>
        <w:rPr>
          <w:b/>
        </w:rPr>
        <w:t>E. 2</w:t>
      </w:r>
    </w:p>
    <w:p>
      <w:r>
        <w:t>A l'appui de sa conclusion en nullité, la recourante B.S.________ expose que les premiers juges, en prononçant le divorce sans confirmation écrite à l'échéance d'un délai de deux mois de sa volonté de divorcer, ratifiant ainsi et intégrant au jugement une convention partielle sur effets accessoires du divorce non confirmée et au surplus partiellement révoquée par une partie, ont violé l'art. 111 CC qui impose un délai de réflexion obligatoire de deux mois et les art. 142 CC (recte : 140 al. 2 CC) et 158 CPC en refusant de tenir la révocation pour valide. Portant sur des règles fédérales essentielles de la procédure, ces violations justifieraient l'annulation du jugement (art. 444 al. 1 ch. 3 CPC), le vice n'étant pas réparable dans le cadre du recours en réforme. L'art. 444 al. 1 ch. 3 CPC sanctionne la violation des règles de procédure tant cantonales que fédérales (Poudret/Haldy/Tappy, Procédure civile vaudoise, 3ème éd., 2002, n. 16 ad art. 444 CPC, p. 659). Les dispositions invoquées constituent des règles essentielles de la procédure dont la sanction est assurée par le recours en réforme ou, si celui-ci n'est pas ouvert, par le recours en nullité (Poudret/Haldy/Tappy, op. cit., n. 4 ad art. 3 CPC, p. 15). En l'occurrence, la voie du recours en réforme est ouverte, si bien que les moyens doivent être examinés dans ce cadre.</w:t>
      </w:r>
    </w:p>
    <w:p>
      <w:r>
        <w:rPr>
          <w:b/>
        </w:rPr>
        <w:t>E. 3</w:t>
      </w:r>
    </w:p>
    <w:p>
      <w:r>
        <w:t>Saisie d'un recours en réforme contre un jugement principal rendu par un tribunal d'arrondissement, la Chambre des recours revoit librement la cause en fait et en droit (art. 452 al. 2 CPC). Elle développe donc son raisonnement juridique après avoir vérifié la conformité de l'état de fait du jugement aux preuves figurant au dossier et après l'avoir, cas échéant, corrigé ou complété au moyen de celles-ci. En principe, les parties ne peuvent pas articuler des faits nouveaux, sous réserve de ceux résultant du dossier et qui auraient dû être retenus ou de ceux pouvant résulter d'une instruction complémentaire selon l'art. 456a CPC (art. 452 al. 1ter CPC; JT 2003 III 3). Toutefois, en matière de divorce, les parties peuvent invoquer des faits et des moyens de preuve nouveaux devant l'autorité cantonale supérieure et prendre des conclusions nouvelles pour autant qu'elles soient fondées sur des faits et des moyens de preuve nouveaux (art. 138 al. 1 CC, auquel renvoie l'art. 374c CPC; Leuenberger, Basler Kommentar, 3 ème éd., 2006, n. 2 ad art. 138 CC).</w:t>
      </w:r>
    </w:p>
    <w:p>
      <w:r>
        <w:rPr>
          <w:b/>
        </w:rPr>
        <w:t>E. 3.1</w:t>
      </w:r>
    </w:p>
    <w:p>
      <w:r>
        <w:t>Entré en vigueur le 1er janvier 2000, le nouveau droit du divorce institue une procédure de divorce sur requête commune, soit avec accord complet sur les effets accessoires du divorce (art. 111 CC), soit avec accord partiel sur ceux-ci (art. 112 CC), et une procédure de divorce sur demande unilatérale, soit en raison d'une suspension de la vie commune (art. 114 CC), soit pour cause de rupture de l'union conjugale (art. 115 CC). La convention complète sur les effets accessoires produite avec une requête commune doit être confirmée par écrit par les époux après l'expiration d'un délai de deux mois à compter de la première audition par le juge (art. 111 al. 2 CC); la même règle s'applique à la convention partielle, les époux devant confirmer les effets du divorce qui font l'objet d'un accord (art. 112 al. 2 CC). L'absence de confirmation équivaut à une révocation, le juge devant alors impartir à chaque époux un délai pour déposer une demande unilatérale (art. 113 CC). Les conventions produites avec une requête commune sont donc librement révocables (Message du Conseil fédéral, FF 1996 I 143 n. 234.7; Sutter/Freiburghaus, Kommentar zum neuen Scheidungsrechts, Zurich 1999, n. 14 ad art. 111 CC et n. 40-42 ad art. 140 CC). En revanche, la convention sur les effets accessoires produite avec une demande unilatérale de divorce, ou conclue par les parties au cours de la procédure qui s'ensuit, lie les parties. Comme sous l'empire de l'ancien droit, un époux ne peut pas la révoquer unilatéralement, mais il peut demander au juge de ne pas la ratifier (Message du Conseil fédéral, FF 1996 I 143 n. 234.7; Sutter/Freiburghaus, op. cit., n. 39 ad art. 140 CC).</w:t>
      </w:r>
    </w:p>
    <w:p>
      <w:r>
        <w:rPr>
          <w:b/>
        </w:rPr>
        <w:t>E. 3.2</w:t>
      </w:r>
    </w:p>
    <w:p>
      <w:r>
        <w:t>Lorsque l'un des époux dépose une demande unilatérale, après suspension de la vie commune (art. 114 CC) ou pour rupture du lien conjugal (art. 115 CC), et que l'autre consent expressément au divorce ou dépose une demande reconventionnelle, l'art. 116 CC prévoit que les dispositions relatives au divorce sur requête commune sont applicables par analogie. La question de savoir si l'art. 116 CC s'applique par analogie à la seule question du divorce lui-même - ce qu'une interprétation purement littérale et systématique de cette disposition, que semble confirmer le Message du Conseil fédéral (FF 1996 I 95 ch. 231.33), laisse penser - ou s'il s'applique également à la convention sur les effets accessoires produite par l'une des parties ou conclue par les époux au cours de la procédure, comme le préconise Fankhauser (in: Schwenzer (éd.), Scheidung, Berne 2005, n. 23 ad art. 116 CC; contra: Sutter/Freiburghaus, op. cit., n. 16 ad art. 116 CC et n. 39 s. ad art. 140 CC), n'a pas à être résolue en l'espèce. En effet, si l'on voulait admettre qu'il s'applique également à la convention sur les effets accessoires, il faudrait au moins que la convention produite par l'un des époux pour être ratifiée ait emporté l'adhésion du conjoint, qui ait conclu de son côté à sa ratification, ou qu'elle ait été produite par les deux époux qui en aient requis conjointement la ratification. C'est à cette seule condition que la fixation d'un délai de réflexion de deux mois et une confirmation à cette échéance serait conforme au système du divorce sur requête commune des art. 111 al. 1-2 et 112 al. 2 CC: ce n'est en effet que sur les points qui font l'objet d'un accord (cf. art. 112 al. 2 CC) communiqué au juge que les parties doivent réfléchir pendant deux mois et produire une confirmation écrite. Or en l'espèce, à aucun moment au cours de la procédure, les époux n'ont été d'accord sur le règlement des effets accessoires présentement litigieux et n'ont sollicité conjointement la ratification de leur accord. L'époux a toujours contesté devoir verser à son épouse le montant total prévu par les conventions conclues en 1996 et 1997, soit 1'170'000 fr. en capital (670'000 fr. + 500'000 fr.). L'autorité cantonale n'a par conséquent pas violé le droit fédéral en ne fixant pas un délai de réflexion de deux mois aux parties et en n'exigeant pas d'elles une confirmation écrite et personnelle des termes des conventions conformément à l'art. 111 al. 2 CC. Comme sous l'empire de l'ancien droit, les conventions litigieuses lient donc les parties, qui peuvent certes demander au juge de ne pas les ratifier (Message du Conseil fédéral, FF 1996 I 143 n. 234.7; Sutter/Freiburghaus, op. cit., n. 39 ad art. 140 CC). » Les premiers juges ont exposé que la convention litigieuse avait été conclue pendant une procédure introduite par demande unilatérale et qu'elle liait donc les parties dans la mesure où elle ne pouvait pas faire l'objet d'une révocation. Seules entraient en ligne de compte une dénonciation pour vice du consentement ou une requête de non ratification. Il convient d'abord de déterminer si le principe même du divorce était, dans le cas d'espèce, soumis au délai de réflexion de l'art. 111 al. 2 CC, puis, s'il en va de même de l'accord partiel sur les effets accessoires. La litispendance a été ouverte le 21 mars 2005 par le dépôt d'une demande en nullité et en annulation du mariage et celui, subsidiairement, d'une demande unilatérale en divorce (art. 119 al. 1 let. b, 371o et 378 CPC). Toutefois, à l'audience préliminaire du 10 mai 2006, les parties ont expressément signé une requête commune en divorce, puis une convention partielle sur effets accessoires du divorce assortie d'une clause de renonciation au délai de réflexion de deux mois. Les parties se sont ainsi placées sur le terrain de l'art. 116 CC. Si leurs confirmations n'ont pas été sollicitées c'est, d'une part, parce qu'elles avaient déclaré y renoncer et, d'autre part, parce que la recourante, un peu plus de deux mois après l'audience préliminaire, a déclaré révoquer partiellement la convention passée à cette occasion, et ne maintenir que les clauses I et IV traitant de la contribution d'entretien jusqu'au 31 mars 2007 et l'application de ce régime à titre provisionnel. Dans ce contexte, requérir la confirmation n'aurait matériellement pas eu de sens puisque la confirmation des deux parties ne peut porter que sur tous les effets du divorce qui ont fait l'objet d'un accord et non sur certains de ceux-ci unilatéralement désignés par une seule partie, l'art. 112 CC renvoyant à l'art. 111 al. 3 CC (Werro, Concubinage, mariage et démariage, Berne 2000 n. 115). Est décisif en l'espèce le fait que la convention sur effets accessoires n'est pas intervenue dans une procédure de divorce sur requête unilatérale, mais dans une procédure de divorce sur requête commune avec accord partiel, après introduction d'une procédure sur requête unilatérale et transformation de celle-ci en procédure sur requête commune. Une telle hypothèse n'est pas prévue dans l'arrêt du Tribunal fédéral précité comme appartenant à la catégorie des conventions non révocables et dont la validité ne dépend pas d'une confirmation par les parties. Ni les parties, ni le juge ne pouvaient renoncer au délai de réflexion de deux mois (Gloor, Basler Kommentar, 3 ème éd., 2006, n. 15 ad art. 111 CC). Or, la nécessité d'une confirmation après un délai de deux mois vaut tant pour une requête commune avec accord complet (art. 111 CC), que pour une requête commune avec accord partiel (art. 112 et 116 CC; TF 5C.270/2004 précité; Fankhauser, op. cit., nn. 10-11 ad art. 112 CC; Sutter/Freiburghaus, op. cit., nn. 26-27 ad art. 112). Il en résulte que la clause de renonciation au délai de réflexion de deux mois contredit une règle d'ordre public et que faute de confirmation à l'échéance du délai légal, un divorce sur requête commune avec accord partiel ne pouvait pas être prononcé et ne pouvait de surcroît pas intégrer la convention sur les effets accessoires. Le recours de  B.S.________ est ainsi fondé et le jugement doit être annulé. Il y a dès lors lieu de renvoyer la cause au tribunal d'arrondissement afin que celui-ci reprenne la procédure en faisant application de l'art. 113 CC. Cette disposition s'applique en effet aussi lorsque la requête commune est celle prévue à l'art. 116 CC (cf. Fankhauser, op. cit., n.</w:t>
      </w:r>
    </w:p>
    <w:p>
      <w:r>
        <w:rPr>
          <w:b/>
        </w:rPr>
        <w:t>E. 4</w:t>
      </w:r>
    </w:p>
    <w:p>
      <w:r>
        <w:t>Les premiers juges ont à juste titre rappelé les considérations suivantes tirées d'un arrêt rendu le 14 juillet 2005 par le Tribunal fédéral (5C.270/2004) : « Il y a lieu d'examiner tout d'abord si, comme le soutient le défendeur, les conventions conclues par les époux en 1996 et 1997 et produites dans le cadre de la procédure de divorce introduite par requête unilatérale de l'épouse sont librement révocables en vertu de l'art. 111 al. 2 CC ou si, au contraire, elles lient les époux.</w:t>
      </w:r>
    </w:p>
    <w:p>
      <w:r>
        <w:rPr>
          <w:b/>
        </w:rPr>
        <w:t>E. 5</w:t>
      </w:r>
    </w:p>
    <w:p>
      <w:r>
        <w:t>En définitive, le recours de B.S.________ née Z. doit être admis. Le recours de A.S.________, qui ne porte pas sur le principe du divorce mais  sur un de ses effets accessoires, est sans objet. Le jugement est annulé et la cause renvoyée au Tribunal d'arrondissement de La Côte pour reprise de la procédure dans le sens des considérants. Les frais de deuxième instance de la recourante sont fixés à 800 fr. et ceux du recourant sont fixés à 300 fr. (art. 233 TFJC). Le recourant A.S.________ doit verser à la recourante la somme de 1'800 fr. à titre de dépens de deuxième instance. Par ces motifs, la Chambre des recours du Tribunal cantonal, statuant à huis clos, prononce : I. Le recours de B.S.________ née Z. est admis. II. Le recours de A.S.________ est sans objet. III. Le jugement est annulé et la cause renvoyée au Tribunal d'arrondissement de La Côte pour reprise de la procédure au sens des considérants. IV. Les frais de deuxième instance de la recourante B.S.________ née Z. sont fixés à 800 fr. (huit cents francs) et ceux du recourant A.S.________ sont fixés à 300 fr. (trois cents francs). V. Le recourant A.S.________ doit verser à la recourante B.S.________ née Z. la somme de 1'800 fr. (mille huit cents francs) à titre de dépens de deuxième instance. VI. L'arrêt motivé est exécutoire. L e président : L e greffi er : Du 8 juillet 2009 Le dispositif de l'arrêt qui précède est communiqué par écrit aux intéressés. L e greffi er : Du L'arrêt qui précède, dont la rédaction a été approuvée à huis clos, est notifié en expédition complète, par l'envoi de photocopies, à : ‑      Me Malek Buffat Reymond (pour A.S.________), ‑      Me Jean-René Mermoud (pour B.S.________ née Z.). La Chambre des recours considère qu'il s'agit d'une cause non pécuniaire (principe du divorce)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