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128 vom 14. März 2022</w:t>
      </w:r>
    </w:p>
    <w:p>
      <w:r>
        <w:t>VD Tribunal cantonal, 2022-03-14, FR</w:t>
      </w:r>
    </w:p>
    <w:p>
      <w:r>
        <w:rPr>
          <w:b/>
        </w:rPr>
        <w:t xml:space="preserve">Quelle: </w:t>
      </w:r>
      <w:r>
        <w:t>https://mcp.opencaselaw.ch/entscheid/vd_findinfo_128___________</w:t>
      </w:r>
    </w:p>
    <w:p>
      <w:r>
        <w:t>FR: VD_FINDINFO 128 du 14 mars 2022</w:t>
      </w:r>
    </w:p>
    <w:p>
      <w:r>
        <w:t>IT: VD_FINDINFO 128 del 14 marzo 2022</w:t>
      </w:r>
    </w:p>
    <w:p>
      <w:pPr>
        <w:pStyle w:val="Heading2"/>
      </w:pPr>
      <w:r>
        <w:t>Regeste</w:t>
      </w:r>
    </w:p>
    <w:p>
      <w:r>
        <w:t>ACTION EN MODIFICATION, OBLIGATION D'ENTRETIEN, ENFANT, JUGEMENT DE DIVORCE | 134 al. 2 CC, 286 al. 2 CC</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Formé en temps utile contre une décision finale par une partie qui y a un intérêt digne de protection (art. 59 al. 2 let. a CPC) et portant sur des conclusions, qui, capitalisées (art. 92 CPC), sont supérieures à 10’000 fr., l’appel est recevable. Quant au [...], celui-ci a été admis à intervenir lors de la procédure d’appel et a été invité à déposer une réponse. Cela étant, compte tenu de la nouvelle jurisprudence rendue par le Tribunal fédéral, il faut dorénavant considérer que ce type de service ne dispose plus de la légitimation passive ou active, laquelle appartient exclusivement à l’enfant concerné, respec-tivement à son représentant, qu’il y ait eu subrogation et avances ou non (cf. en ce sens TF 5A_69/2020 et TF 5A_75/2020 du 12 janvier 2022, destinés à publication). Ainsi, Le Service R.________ n’est plus légitimé à intervenir dans la présente procédure d’appel, de sorte que sa conclusion tendant au rejet de l’appel doit être déclarée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2.2</w:t>
      </w:r>
    </w:p>
    <w:p>
      <w:r>
        <w:t>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5A_229/2013 du 25 septembre 2013 consid. 4.1 ; TF 5A_930/2012 du 16 mai 2013 consid. 3.3.3).</w:t>
      </w:r>
    </w:p>
    <w:p>
      <w:r>
        <w:rPr>
          <w:b/>
        </w:rPr>
        <w:t>E. 2.3</w:t>
      </w:r>
    </w:p>
    <w:p>
      <w:r>
        <w:t>En l’espèce, dans la mesure où la présente procédure concerne des enfants mineurs et qu’elle est par conséquent soumise à la maxime inquisitoire illimitée, les pièces nouvelles produites en appel sont recevables, sans qu’il y ait lieu d’examiner si les conditions prévues par l’art. 317 al. 1 CPC sont réalisées (ATF 144 III 349 consid. 4.2.1 et les références citées).</w:t>
      </w:r>
    </w:p>
    <w:p>
      <w:r>
        <w:rPr>
          <w:b/>
        </w:rPr>
        <w:t>E. 3</w:t>
      </w:r>
    </w:p>
    <w:p>
      <w:r>
        <w:t>L’appelant requiert le réexamen des contributions d’entretien dues en faveur de ces trois premiers enfants. Il fait en substance valoir que sa situation aurait changé par la survenance de faits nouveaux depuis le prononcé du jugement de divorce du 2 juillet 2018.</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(cf. TF 5A_230/2019 du 31 janvier 2020 consid. 6.1 et les références citées). Des éléments concrets relatifs à une modification prochaine des circonstances peuvent néanmoins être pris en considération, afin d’éviter autant que possible une procédure ultérieure en modification (cf. TF 5A_666/2016 du 25 avril 2017 consid. 3.3.3 ; TF 5A_7/2016 du 15 juin 2016 consid. 5.3).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(cf. TF 5A_230/2019 du 31 janvier 2020 consid. 6.1 et les références citées).</w:t>
      </w:r>
    </w:p>
    <w:p>
      <w:r>
        <w:rPr>
          <w:b/>
        </w:rPr>
        <w:t>E. 3.2.1</w:t>
      </w:r>
    </w:p>
    <w:p>
      <w:r>
        <w:t>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3.2.2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doctrinales citées).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3.2.3</w:t>
      </w:r>
    </w:p>
    <w:p>
      <w:r>
        <w:t>Dans un arrêt de principe (ATF 147 III 265, SJ 2021 I 316),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(ATF 147 III 265 consid. 6.6 in fine ).</w:t>
      </w:r>
    </w:p>
    <w:p>
      <w:r>
        <w:rPr>
          <w:b/>
        </w:rPr>
        <w:t>E. 3.2.4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3.2.5</w:t>
      </w:r>
    </w:p>
    <w:p>
      <w:r>
        <w:t>supra ). Or, en l’occurrence, les moyens financiers des parties ne permettent pas la couverture des charges des membres de la famille au-delà de la prise en compte de leur minimum vital du droit des poursuites, de sorte que la charge relative aux primes d’assurance-maladie complémentaire retenue par l’autorité de première instance en faveur des enfants A.________ et Z.________ doit être supprimée. Les coûts directs des enfants et la contribution de prise en charge sont en effet prioritaires sur le minimum vital du droit de la famille, car ces deux volets de la contribution d’entretien sont limités au minimum vital du droit des poursuites (ATF 147 III 265 consid. 7.3). En définitive, les coûts directs actualisés des trois premiers enfants de l’appelant se déterminent, valeurs arrondies au franc supérieur, comme il suit : A.________              Z.________ Z.________ - base mensuelle              600 fr. 600 fr.              600 fr. - part. au loyer ([50% x 1’720 fr.] : 3) 287 fr.              287 fr. 287 fr. - primes d’ass.-mal. de base (subs.) 27 fr.              27 fr. 0 fr. - frais médicaux non remboursés 6 fr.              14 fr. 50 fr. - frais de transport              3 fr. 3 fr.              3 fr. Total (MV droit des poursuites) 923 fr.              931 fr. 740 fr. - allocations familiales - 272 fr.              - 272 fr. - 272 fr. Total 651 fr. 659 fr.              468 fr. Les coûts directs des trois premiers enfants de l’appelant totalisent désormais 1’778 fr. par mois (651 fr. + 659 fr. + 468 fr.). Si l’on intègre la contribution de prise en charge liée au déficit budgétaire de l’intimée, par 760 fr., l’entretien convenable des trois enfants s’élève, au total, à 2’538 fr. (1’778 fr. + 760 fr.).</w:t>
      </w:r>
    </w:p>
    <w:p>
      <w:r>
        <w:rPr>
          <w:b/>
        </w:rPr>
        <w:t>E. 3.2.6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3.2.7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w:t>
      </w:r>
    </w:p>
    <w:p>
      <w:r>
        <w:t>L’appelant reproche au premier juge d’avoir retenu, dans le cadre de sa situation, le revenu hypothétique de 5’000 fr. tel qu’il avait été fixé à l’époque par le jugement de divorce du 2 juillet 2018, au lieu de prendre en compte les nouveaux revenus qu’il a allégués dans la présente procédure, pour recalculer le montant des contributions mises à sa charge pour l’entretien de ses trois premiers enfants. Il considère que le montant de 5’000 fr. ne serait pas réaliste, dans la mesure où la comptabilité de son activité indépendante démontrerait qu’il ne perçoit pas un tel revenu et où il ne parviendrait pas à retrouver une activité lucrative salariée. Il rappelle par ailleurs qu’il ne dispose d’aucune formation professionnelle et qu’il n’a jamais perçu un revenu de ce montant. Il estime ainsi que le premier juge ne pouvait retenir qu’un revenu mensuel de 3’000 fr. par mois.</w:t>
      </w:r>
    </w:p>
    <w:p>
      <w:r>
        <w:rPr>
          <w:b/>
        </w:rPr>
        <w:t>E. 4.1.1</w:t>
      </w:r>
    </w:p>
    <w:p>
      <w:r>
        <w:t>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et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TF 5A_946/2018 du 6 mars 2019 consid. 3.1).</w:t>
      </w:r>
    </w:p>
    <w:p>
      <w:r>
        <w:rPr>
          <w:b/>
        </w:rPr>
        <w:t>E. 4.1.2</w:t>
      </w:r>
    </w:p>
    <w:p>
      <w:r>
        <w:t>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 22 juin 2017 consid. 3.3 ; TF 5D_130/2018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w:t>
      </w:r>
    </w:p>
    <w:p>
      <w:r>
        <w:rPr>
          <w:b/>
        </w:rPr>
        <w:t>E. 4.2</w:t>
      </w:r>
    </w:p>
    <w:p>
      <w:r>
        <w:t>L’appelant s’est vu imputer un revenu hypothétique dans le cadre du jugement de divorce du 2 juillet 2018. Ce revenu a été fixé à 5’000 fr. par mois sur la base des aptitudes professionnelles de l’intéressé et du calculateur « Salarium » en ce qui concerne un ouvrier non qualifié. Le montant retenu à titre hypothétique correspond par ailleurs, et contrairement à ce que soutient l’appelant, à peu de chose près au salaire que celui-ci percevait lorsqu’il travaillait auprès de son dernier employeur, [...] SA, à savoir à un montant de l’ordre de 4’900 fr. net par mois (pièce 1, pp. 24 et 26). En l’occurrence, l’intéressé n’apporte aucun élément nouveau justifiant de revoir cette question. En particulier, l’existence des deux derniers enfants que l’appelant a eus avec sa nouvelle compagne n’exerce aucune influence sur cette problématique, dès lors qu’ils sont pris en charge durant la journée par leur mère et que l’appelant poursuit une activité à plein temps en qualité d’indépendant dans le domaine de la vente de véhicules d’occasion. De plus, comme l’a relevé l’autorité de première instance, l’appelant n’a pas produit la moindre recherche d’emploi dans une autre branche d’activité permettant d’attester qu’il aurait essayé de trouver un travail plus rémunérateur que l’activité précitée. On relève en outre que l’intéressé soutient, en appel, qu’il retirerait un revenu moyen de 3’000 fr. par mois de son commerce de véhicules, alors que les éléments ressortant de la comptabilité qu’il a produite en première instance établiraient un bénéfice net de 9’914 fr. réalisé sur la période du 1 er octobre au 31 décembre 2019, puis de 7’833 fr. sur celle du 1 er janvier au 30 novembre 2020, soit un revenu moyen de l’ordre de 1’250 fr. par mois sur l’ensemble de cette période de quatorze mois. Le premier juge a également rappelé que l’appelant avait déjà vainement tenté, à deux reprises, d’exploiter un commerce de véhicules d’occasion sous la forme d’une raison individuelle. L’appelant ne saurait donc se prévaloir des très faibles revenus qu’il perçoit actuellement, alors qu’il n’a pas entrepris, comme on l’a vu, le moindre effort pour les augmenter, se complaisant manifestement dans la situation qui est la sienne aujourd’hui, au détriment de ses obligations familiales, étant précisé que l’intéressé a désormais cinq enfants à charge financièrement. Pour le surplus, comme le relève l’intimée dans sa réponse, il y a lieu de rappeler que l’appelant dispose d’une formation d’opérateur de production acquise auprès de [...] SA et d’un diplôme de l’école hôtelière obtenu en [...] (certes non reconnu en Suisse, mais qui atteste tout de même d’un minimum d’aptitudes en la matière), ce qui aurait dû lui permettre de trouver rapidement un emploi dans la restauration, le commerce ou comme main d’œuvre dans une usine. Les considérations faites à cet égard par le Tribunal civil de la Sarine dans son jugement de divorce du 2 juillet 2018 conservent ainsi toute leur actualité (pièce 1, p. 26, 2 e par.). Par conséquent, faute de circonstance nouvelle qui justifierait de revoir la question du revenu hypothétique qui avait été fixé à l’époque du jugement précité, il n’existe aucune correction à apporter à cette décision. Ainsi, le moyen de l’appelant doit être rejeté, sans qu’il soit nécessaire d’examiner les conditions applicables à la détermination du revenu hypothétique.</w:t>
      </w:r>
    </w:p>
    <w:p>
      <w:r>
        <w:rPr>
          <w:b/>
        </w:rPr>
        <w:t>E. 5</w:t>
      </w:r>
    </w:p>
    <w:p>
      <w:r>
        <w:t>L’appelant fait valoir que certaines des charges retenues par le premier juge pour arrêter les coûts directs de ses trois premiers enfants auraient été prises en compte de manière erronée. Il estime tout d’abord que la proportion de 50% à titre de participation au loyer pour les trois enfants serait infondée, dans la mesure où la jurisprudence préconiserait, dans cette situation, un pourcentage de 40%. Il reproche ensuite au premier juge d’avoir pris en considération les frais de transport et les primes d’assurance-maladie complémentaire des enfants dans leurs coûts directs, alors que la situation financière des parties serait serrée.</w:t>
      </w:r>
    </w:p>
    <w:p>
      <w:r>
        <w:rPr>
          <w:b/>
        </w:rPr>
        <w:t>E. 5.1</w:t>
      </w:r>
    </w:p>
    <w:p>
      <w:r>
        <w:t>En présence d’enfants mineurs, une part du loyer du logement qu’ils occupent chez le parent qui en a la garde est imputée aux coûts directs des enfants ; elle doit donc être déduite des coûts du logement du parent concerné. Cette part est calculée en fonction du pourcentage du loyer effectif (qui peut inclure les charges) et adaptée aux circonstances concrètes, dont l’étendue doit être déterminée dans chaque cas par le juge au vu du nombre d’enfants et du montant du loyer (ATF 147 III 265 consid. 7.2 ; TF 5A_464/2012 du 30 novembre 2012 consid. 4.6.3). La jurisprudence du Tribunal fédéral laisse au juge une certaine marge de manœuvre (ATF 147 III 265 consid. 7.2). La pratique admet la prise en compte d’une part de loyer de 40% à 50% dès trois enfants (CJ GE, ACJC/828/2021 du 11 juin 2021 consid. 4.1.1 ; Bastons Bulletti, L’entretien après divorce : méthodes de calcul, montant, durée et limites, SJ 2007 II 77, spéc. p. 102 et les références citées ; TC NE, CMPEA.2020.11 du 25 septembre 2020 consid. 4a/aa ; TC FR, 101 2021 128 du 5 octobre 2021 consid. 4.2).</w:t>
      </w:r>
    </w:p>
    <w:p>
      <w:r>
        <w:rPr>
          <w:b/>
        </w:rPr>
        <w:t>E. 5.2</w:t>
      </w:r>
    </w:p>
    <w:p>
      <w:r>
        <w:t>En l’occurrence, le jugement de divorce du 2 juillet 2018 avait déjà pris en compte une proportion de 50% du loyer du parent gardien, qui avait été répartie entre les trois enfants des parties (pièce 1, pp. 23, 27 et 28). En cas de requête de modification, l’autorité concernée ne peut pas changer de méthode, mais uniquement actualiser les montants pris en compte pour le calcul dans le jugement précédent, en faisant usage de son pouvoir d’appréciation (art. 4 CC ; ATF 137 III 604 consid. 4.1.2 ; TF 5A_461/2019 du 6 mars 2020 consid. 5.2). Il ne saurait donc être question de revoir la proportion de 50% arrêtée à titre de participation au loyer pour les trois enfants, laquelle est de toute manière adéquate dans le cas d’espèce. Le grief est donc infondé.</w:t>
      </w:r>
    </w:p>
    <w:p>
      <w:r>
        <w:rPr>
          <w:b/>
        </w:rPr>
        <w:t>E. 5.3</w:t>
      </w:r>
    </w:p>
    <w:p>
      <w:r>
        <w:t>S’agissant des frais de transport et des primes d’assurance-maladie complémentaire, l’appelant ne conteste pas les montants concernés, mais leur prise en compte dans les coûts directs des enfants. Il considère à cet égard que ses revenus ne permettraient pas d’assumer de telles charges. Cette problématique sera examinée ultérieurement, après avoir déterminé l’ampleur du montant disponible de l’appelant et les possibilités que ce montant est susceptible d’offrir à ses créanciers d’aliments (cf. consid. 8.1.2 infra ).</w:t>
      </w:r>
    </w:p>
    <w:p>
      <w:r>
        <w:rPr>
          <w:b/>
        </w:rPr>
        <w:t>E. 6</w:t>
      </w:r>
    </w:p>
    <w:p>
      <w:r>
        <w:t>L’appelant remet ensuite en cause le calcul de ses charges. Il fait valoir que les coûts de ses deux derniers enfants et ceux de leur mère devaient être intégrés à son minimum vital, dès lors qu’il serait le seul à pouvoir les assumer, l’âge des enfants ne permettant pas à sa compagne de travailler. Selon l’appelant, le premier juge aurait dû retenir l’intégralité du loyer dans ses charges, de même qu’une base mensuelle de 1’700 fr., conformément aux normes appliquées par les offices des poursuites. A défaut de prendre en compte la base mensuelle applicable au couple, l’appelant considère que l’intégralité des charges de la mère des enfants devrait être retenue à titre de contribution de prise en charge pour son fils K.________, laquelle devrait être également reportée dans les coûts indirects des enfants.</w:t>
      </w:r>
    </w:p>
    <w:p>
      <w:r>
        <w:rPr>
          <w:b/>
        </w:rPr>
        <w:t>E. 6.1</w:t>
      </w:r>
    </w:p>
    <w:p>
      <w:r>
        <w:t>Lorsqu’est en jeu l’entretien d’un enfant mineur, le débirentier ne peut prétendre à la sauvegarde du minimum vital du droit des poursuites que pour lui-même. Il ne peut pas y incorporer le minimum vital de toute sa seconde famille qui vit auprès de lui. Ainsi, les frais d’entretien des enfants vivant dans le ménage commun, tout comme les contributions d’entretien en faveur d’enfants nés d’une autre union ou nés hors mariage et vivant dans un autre ménage, ne doivent pas être ajoutés au minimum vital du débirentier. On exclut également les frais qui concernent exclusivement le nouveau conjoint, même s’ils sont à la charge du débirentier en vertu des art. 163 ss CC (ATF 144 III 502 consid. 6.5, JdT 2019 II 200 ; TF 5A_848/2019 du 2 décembre 2020 consid. 4.1). Il y a toutefois lieu de tenir compte, dans une procédure tendant à la modification de contribution d’entretien, de la charge nouvelle que représente, pour le débiteur d’entretien, la naissance d’un enfant d’un nouveau lit, qui doit être financièrement traité de manière égale aux enfants d’un précédent lit au bénéfice de contributions d’entretien. Cependant, ce principe n’a pas pour effet que chaque enfant percevra le même montant pour son entretien : la détermination du montant de la contribution d’entretien de chacun d’eux doit résulter de l’appréciation concrète de l’ensemble des critères pertinents (TF 5A_829/2012 du 7 mai 2013 consid. 6.2).</w:t>
      </w:r>
    </w:p>
    <w:p>
      <w:r>
        <w:rPr>
          <w:b/>
        </w:rPr>
        <w:t>E. 6.2</w:t>
      </w:r>
    </w:p>
    <w:p>
      <w:r>
        <w:t>Il résulte de ce qui précède que les coûts directs des deux derniers enfants de l’appelant ainsi que les charges relatives à la compagne de celui-ci ne doivent pas, contrairement à ce qu’il soutient, être incorporés à son minimum vital, et ce quand bien même cette dernière ne serait pas autonome financièrement. Le montant de 270 fr. retenu par le premier juge à titre de coûts directs de leurs deux enfants doit donc être retranché. Quant au montant du loyer, celui-ci doit tenir compte d’une participation desdits enfants et de leur mère, seul le solde pouvant être intégré au minimum vital de l’appelant. La participation aux frais du logement pour deux enfants peut être fixée à 30% (TF 5A_583/2018 du 18 janvier 2019 consid. 3.2). La part de loyer à la charge de l’appelant s’élève ainsi à 560 fr. ([70% x 1’600 fr.] : 2). S’agissant de la base mensuelle de l’appelant, il faut retenir, avec le premier juge, un montant de 850 fr., correspondant à la moitié de la base mensuelle allouée pour un couple selon les Lignes directrices pour le calcul du minimum vital du droit des poursuites. A cet égard, on précise que l’appelant a lui-même allégué en procédure que les charges le concernant devaient comprendre un montant de 850 fr. à titre de base mensuelle, celui-ci étant ainsi mal venu de se plaindre que ce montant ait été retenu (cf. all. 13 de la motivation écrite du 23 septembre 2020, pièce 6). Comme on le verra ci-après, les ressources à disposition des parties ne leur permettent pas de couvrir leurs charges au-delà de la prise en compte de leur minimum vital du droit des poursuites, de sorte que la charge d’impôt de l’appelant, retenue par le premier juge à hauteur de 5 fr., doit être supprimée, de même que le montant de 150 fr. prévu pour l’exercice du droit de visite, charge qui relève du minimum vital élargi du droit de la famille. Pour le surplus, aucun montant n’avait été retenu à ce titre par le jugement de divorce fribourgeois (pièce 1, p. 26).</w:t>
      </w:r>
    </w:p>
    <w:p>
      <w:r>
        <w:rPr>
          <w:b/>
        </w:rPr>
        <w:t>E. 6.3</w:t>
      </w:r>
    </w:p>
    <w:p>
      <w:r>
        <w:t>supra ). Comme cela était déjà le cas au moment du jugement de divorce (pièce 1, p. 29, let. e) et compte tenu de l’égalité de traitement qu’il convient de respecter entre ses enfants (ATF 147 III 265 consid. 7.3 ; ATF 127 III 68, JdT 2001 I 562 ; TF 5A_78/2019 du 25 juillet 2019 consid. 5.3), l’appelant n’est pas en mesure d’assurer l’entretien convenable de ses trois premiers enfants, étant rappelé que cet entretien totalisait 3’371 fr. 15 à cette époque et qu’il a dorénavant deux enfants supplémentaires à charge, ainsi que sa nouvelle compagne. Les circonstances nouvelles invoquées par l’appelant justifient donc de revoir l’ensemble de la situation des parties et de leurs enfants afin de déterminer dans quelle mesure son disponible peut être affecté à ses créanciers d’aliments.</w:t>
      </w:r>
    </w:p>
    <w:p>
      <w:r>
        <w:rPr>
          <w:b/>
        </w:rPr>
        <w:t>E. 7</w:t>
      </w:r>
    </w:p>
    <w:p>
      <w:r>
        <w:t>L’appelant remet en cause le montant des charges mensuelles de l’intimée. Il reproche au premier juge d’avoir pris en compte un montant d’impôt de 75 fr. par mois, alors que l’intimée perçoit une aide financière du Service [...] et qu’elle ne s’acquitterait d’aucun impôt, comme le démontrerait sa taxation 2018. Par ailleurs, en raison du montant du subside, la prime d’assurance-maladie de base de l’intimée s’élèverait à 129 fr. 55 au lieu des 176 fr. 35 retenus dans le jugement querellé. Enfin, l’appelant considère qu’un revenu hypothétique de 2’500 fr. aurait dû être imputé à l’intimée, compte tenu de l’âge des enfants dont elle a la garde. Elle serait ainsi à même de travailler à 50% au moins et sa capacité contributive, augmentée progressivement suivant l’âge des enfants, devrait lui permettre d’assumer l’intégralité de son entretien, aucune contribution de prise en charge ne devant par conséquent être prise en considération.</w:t>
      </w:r>
    </w:p>
    <w:p>
      <w:r>
        <w:rPr>
          <w:b/>
        </w:rPr>
        <w:t>E. 7.1.1</w:t>
      </w:r>
    </w:p>
    <w:p>
      <w:r>
        <w:t>Les notions concernant l’imputation d’un revenu hypothétique ont été exposées ci-dessus (cf. consid. 4.1 supra ).</w:t>
      </w:r>
    </w:p>
    <w:p>
      <w:r>
        <w:rPr>
          <w:b/>
        </w:rPr>
        <w:t>E. 7.1.2</w:t>
      </w:r>
    </w:p>
    <w:p>
      <w:r>
        <w:t>Selon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RSPC 2015 p. 52).</w:t>
      </w:r>
    </w:p>
    <w:p>
      <w:r>
        <w:rPr>
          <w:b/>
        </w:rPr>
        <w:t>E. 7.2</w:t>
      </w:r>
    </w:p>
    <w:p>
      <w:r>
        <w:t>S’agissant tout d’abord de la charge d’impôt retenue dans le minimum vital de l’intimée par le premier juge, il apparaît effectivement, comme on le verra ci-après, que la situation financière des parties ne permet pas de la prendre en compte, chacun des membres étant réduit à son minimum vital LP. Il se justifie donc de la supprimer. Contrairement à ce que retient le premier juge (jgt, p. 32), la situation financière des parties ne permet en effet pas de calculer les contributions d’entretien en tenant compte du minimum vital du droit de la famille (cf. consid. 8 infra ). En ce qui concerne la prime d’assurance-maladie de l’intimée, celle-ci s’est élevée à 448 fr. 65 (pièce 15) pour l’année 2021 et le subside correspondant à 293 fr. 40 (pièce 49), ce qui lui laisse un montant de 155 fr. 25 à charge. L’intimée admet ce montant dans la réponse qu’elle a déposé en appel, alors que le jugement querellé retient quant à lui une charge de 176 fr. 35. Il se justifie donc de retenir le montant de 155 fr. 25. Il n’y a pas lieu de faire de calcul pour l’année 2019, la différence étant minime. Enfin, s’agissant du revenu hypothétique pris en compte pour l’intimée, l’appelant se borne à affirmer que cette dernière serait en mesure de percevoir un revenu de l’ordre de 2’500 fr. par mois au lieu des 1’768 fr. 30 retenus par le jugement de divorce et le jugement querellé, sans fournir la moindre démonstration à l’appui de sa thèse, ni indiquer en quoi le raisonnement développé par l’autorité de première instance serait erroné. Dans ces circonstances, l’appelant ne se conforme pas à l’exigence de motivation applicable à la procédure d’appel, de sorte qu’il n’y a pas lieu d’entrer en matière sur ce grief.</w:t>
      </w:r>
    </w:p>
    <w:p>
      <w:r>
        <w:rPr>
          <w:b/>
        </w:rPr>
        <w:t>E. 7.3</w:t>
      </w:r>
    </w:p>
    <w:p>
      <w:r>
        <w:t>Au regard des précisions qui précèdent, le minimum vital de l’intimée, valeurs arrondies au franc supérieur, s’établit de la manière suivante : - base mensuelle              1’350 fr. - loyer (50% x 1’720 fr.) 860 fr. - prime d’assurance-maladie de base (subsidiée) 156 fr. - frais médicaux non remboursés 82 fr. - frais de transport 77 fr. Total (MV droit des poursuites) 2’525 fr. Ainsi, en déduisant de ce montant le revenu hypothétique de l’intimée, le budget de celle-ci accuse un déficit de 756 fr. 70, arrondi à 760 fr. (1’768 fr. 30 - 2’525 fr.).</w:t>
      </w:r>
    </w:p>
    <w:p>
      <w:r>
        <w:rPr>
          <w:b/>
        </w:rPr>
        <w:t>E. 8</w:t>
      </w:r>
    </w:p>
    <w:p>
      <w:r>
        <w:t>Considérant les modifications qu’il conviendrait selon lui d’apporter au jugement de première instance, l’appelant estime qu’il ne peut être astreint au paiement d’une contribution d’entretien de plus de 100 fr. par mois et par enfant. Si contre toute attente un revenu hypothétique de 5’000 fr. par mois devait lui être imputé, l’appelant estime alors que la contribution d’entretien des enfants ne pourrait pas dépasser 400 fr. par mois pour chacun d’eux, au vu d’un montant disponible, en pareille hypothèse, de 1’200 fr. par mois. Il ajoute qu’il n’y aurait, dans un tel cas, aucun excédent à partager.</w:t>
      </w:r>
    </w:p>
    <w:p>
      <w:r>
        <w:rPr>
          <w:b/>
        </w:rPr>
        <w:t>E. 8.1</w:t>
      </w:r>
    </w:p>
    <w:p>
      <w:r>
        <w:t>Comme on l’a vu, le budget de l’appelant présente un disponible de 3’590 fr. (consid.</w:t>
      </w:r>
    </w:p>
    <w:p>
      <w:r>
        <w:rPr>
          <w:b/>
        </w:rPr>
        <w:t>E. 8.2</w:t>
      </w:r>
    </w:p>
    <w:p>
      <w:r>
        <w:t>L’appelant admet globalement les charges retenues par le premier juge concernant le minimum vital élargi du droit de la famille de ses trois premiers enfants. Il conteste uniquement la prise en compte des frais de transports, de 2 fr. 50 pour chacun, et des primes d’assurance-maladie complémentaire dans leurs coûts directs. S’agissant des frais de transport, l’appelant n’indique pas pourquoi la charge retenue ne correspondrait pas à un besoin essentiel de l’enfant ni en quoi l’appréciation faite par l’autorité de première instance à ce sujet serait erronée, se contentant d’affirmer que les frais en cause « n’ont pas de raison d’être retenus ». Ce faisant, l’appelant ne satisfait pas à l’exigence de motivation qui prévaut dans le cadre de la procédure d’appel (cf. consid. 7.1.2 supra ), dans la mesure où il n’explique pas en quoi sa thèse devrait l’emporter sur la solution retenue par le premier juge. Il n’y a donc pas lieu d’entrer en matière sur ce grief. Au surplus, le montant des frais de transport, de l’ordre de 3 fr. par enfant, est modeste et n’impacte pas de manière significative la situation financière des parties. Quant aux primes d’assurance complémentaire, lorsque la situation financière des parents le permet, celles-ci peuvent être retenues dans le minimum vital du droit de la famille (cf. consid.</w:t>
      </w:r>
    </w:p>
    <w:p>
      <w:r>
        <w:rPr>
          <w:b/>
        </w:rPr>
        <w:t>E. 8.3</w:t>
      </w:r>
    </w:p>
    <w:p>
      <w:r>
        <w:t>Les coûts directs des deux derniers enfants de l’appelant s’élèvent à 750 fr. (2 x 375 fr.) par enfant, selon le calcul suivant : - base mensuelle (400 fr. - 265 fr. [all. fam. FR]) 135 fr. - participation au loyer (15% x 1’600 fr.) 240 fr. - prime d’assurance-maladie de base (subsidiée) 0 fr. Total (MV droit des poursuites) 375 fr. La contribution de prise en charge correspondant au minimum vital de la nouvelle compagne de l’appelant se monte à 1’410 fr. selon le calcul suivant : - base mensuelle              850 fr. - loyer ([70% x 1’600 fr.] : 2) 560 fr. - prime d’assurance-maladie de base (subsidiée) 0 fr. Total (MV droit des poursuites) 1’410 fr. L’entretien convenable des deux derniers enfants de l’appelant totalise donc 2’160 fr. en tenant compte d’une contribution de prise en charge théorique liée au budget déficitaire de leur mère (2 x 375 fr. + 1’410 fr. ; cf. CACI 15 septembre 2021/447 consid. 8.3.3).</w:t>
      </w:r>
    </w:p>
    <w:p>
      <w:r>
        <w:rPr>
          <w:b/>
        </w:rPr>
        <w:t>E. 8.4</w:t>
      </w:r>
    </w:p>
    <w:p>
      <w:r>
        <w:t>Une fois son propre minimum vital couvert (1’410 fr.), la situation finan-cière de l’appelant ne lui permet pas d’assumer l’entretien convenable de ses cinq enfants (3’590 fr. - 2’538 fr. - 2’160 fr. = - 1’108 fr.). En revanche, une fois les coûts directs de ses enfants couverts, l’appelant dispose encore d’un reliquat de 1’062 fr. (3’590 fr. - 1’778 fr. - 750 fr. = 1’062 fr.). Les enfants doivent être traités de la même manière sous l’angle de leur entretien convenable et donc également au niveau de la prise en compte des coûts indirects, le déficit devant être supporté entre tous les enfants d’un même débiteur à proportion égale (Guillod, La détermination de l’entretien de l’enfant, in Bohnet/Dupont [éd.], Le nouveau droit de l’entretien de l’enfant et du partage de la prévoyance, Bâle 2016, pp. 1 ss, spéc. p. 5). En l’espèce, le disponible résiduel de l’appelant doit être réparti entre les deux ménages et non par tête entre les enfants, sous peine de favoriser le parent gardien de la famille au sein de laquelle se trouve une majorité d’enfants, ce qui donne un montant de 177 fr. ([1’062 fr. : 2] : 3) pour chacun des trois enfants du premier lit et un montant de 265 fr. 50 pour chacun des deux enfants du second ([1’062 fr. : 2] : 2). Par conséquent, il y a lieu de fixer, à compter du 1 er avril 2020 – la demande en modification du jugement de divorce datant du 26 mars 2020 (cf. TF 5A_891/2013 du 12 mars 2014 consid. 4.2 ; CACI 18 avril 2019/218 consid. 7.1) –, les contributions d’entretien des trois premiers enfants de l’appelant à 830 fr. (651 fr. + 177 fr. = 828 fr. arrêtés à 830 fr.) pour A.________, à 835 fr. (659 fr. + 177 fr. = 836 fr. arrêtés à 835 fr.) pour Z.________ et à 645 fr. (468 fr. + 177 fr. = 645 fr.) pour E.________. Le total des pensions mensuelles s’élève, selon le nouveau calcul, à un montant de 2’310 fr., au lieu du montant de 2’600 fr. qui avait été retenu dans le jugement de divorce du 2 juillet 2018, ce qui représente une baisse de 11,15% ([2’600 fr. - 2’310 fr.] : 2’600 fr.). L’enfant E.________ aura 10 ans le 11 avril 2022 et verra donc sa base mensuelle augmenter de 200 fr. à partir de cette date. Les pensions mensuelles fixées ci-dessus doivent donc être revues à compter du 1 er avril 2022. Le disponible résiduel de l’appelant sera donc réduit à 862 fr. (1’062 fr. - 200 fr.), ce qui donne un montant de 143 fr. 65 ([862 fr. : 2] : 3) à répartir pour chacun des trois enfants du premier lit. Par conséquent, pour la période à compter du 1 er avril 2022, il y a lieu de fixer les contributions d’entretien des trois premiers enfants de l’appelant à 795 fr. (651 fr. + 143 fr. 65 = 794 fr. 65 arrêtés à 795 fr.) pour A.________, à 805 fr. (659 fr. + 143 fr. 65 = 802 fr. 65 arrêtés à 805 fr.) pour Z.________ et à 810 fr. ([468 fr. + 200 fr.] + 143 fr. 65 = 811 fr. 65 arrêtés à 811 fr. 65) pour E.________. Le total des pensions mensuelles s’élève, selon ce nouveau calcul, à 2’410 fr., ce qui correspond, par rapport au jugement de divorce du 2 juillet 2018, à une baisse de 7,31% ([2’600 fr. - 2’410 fr.] : 2’600 fr.).</w:t>
      </w:r>
    </w:p>
    <w:p>
      <w:r>
        <w:rPr>
          <w:b/>
        </w:rPr>
        <w:t>E. 8.5</w:t>
      </w:r>
    </w:p>
    <w:p>
      <w:r>
        <w:t>Le montant de l’entretien convenable des trois premiers enfants de l’appelant, à savoir, pour la période du 1 er avril 2020 au 31 mars 2022, arrondi au franc supérieur, à 905 fr. (651 fr. + [760 fr. : 3]) pour A.________, à 913 fr. (659 fr. + [760 fr. : 3]) pour Z.________ et à 722 fr. (468 fr. + [760 fr. : 3]) pour E.________, allocations familiales déduites, sera en outre constaté dans le dispositif du jugement querellé. Pour la période à compter du 1 er avril 2022, le montant sera identique pour les deux premiers enfants et de 922 fr. ([468 fr. + 200 fr.] + [760 fr. : 3]) pour l’enfant E.________, allocations familiales déduites.</w:t>
      </w:r>
    </w:p>
    <w:p>
      <w:r>
        <w:rPr>
          <w:b/>
        </w:rPr>
        <w:t>E. 9</w:t>
      </w:r>
    </w:p>
    <w:p>
      <w:r>
        <w:t>En définitive, l’appel doit être partiellement admis et le jugement que-rellé réformé dans le sens des considérants qui précèdent.</w:t>
      </w:r>
    </w:p>
    <w:p>
      <w:r>
        <w:rPr>
          <w:b/>
        </w:rPr>
        <w:t>E. 9.1.1</w:t>
      </w:r>
    </w:p>
    <w:p>
      <w:r>
        <w:t>Selon l’art. 318 al. 3 CPC, si l’instance d’appel statue à nouveau, elle se prononce sur les frais – soit les frais judiciaires et les dépens (art. 95 al. 1 CPC) – de la première instance.</w:t>
      </w:r>
    </w:p>
    <w:p>
      <w:r>
        <w:rPr>
          <w:b/>
        </w:rPr>
        <w:t>E. 9.1.2</w:t>
      </w:r>
    </w:p>
    <w:p>
      <w:r>
        <w:t>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9.1.3</w:t>
      </w:r>
    </w:p>
    <w:p>
      <w:r>
        <w:t>En premier instance, l’appelant a conclu à ce qu’il ne soit astreint au versement d’aucune contribution d’entretien en faveur de ses trois premiers enfants. L’intimée a conclu au rejet de cette conclusion. En définitive, l’appelant a obtenu une réduction des pensions globales de l’ordre de 11%, respectivement de 7% par rapport à celles qui avaient été arrêtées dans le jugement de divorce du 2 juillet 2018. Dans ces circonstances, il y a lieu de considérer que l’appelant a obtenu gain de cause sur un dixième de ses conclusions et l’intimée sur les neuf dixièmes de la sienne, de sorte que les frais judiciaires de première instance, arrêtés à 3’100 fr., doivent être mis par 2’970 fr. à la charge de l’appelant et par 310 fr. à la charge de l’intimée. Les frais judiciaires seront provisoirement laissés à la charge de l’Etat compte tenu de l’assistance judiciaire (art. 122 al. 1 let. b CPC). Les dépens de première instance, arrêtés à 7’125 fr. par le premier juge, seront répartis de la même manière, si bien que l’appelant devra verser à ce titre un montant de 5’700 fr. à l’intimée, après compensation. Le Service R.________ n’étant plus partie à la procédure (cf. consid. 1.2), celui-ci n’a pas à assumer les frais judiciaires et les dépens qui s’y rapportent.</w:t>
      </w:r>
    </w:p>
    <w:p>
      <w:r>
        <w:rPr>
          <w:b/>
        </w:rPr>
        <w:t>E. 9.2</w:t>
      </w:r>
    </w:p>
    <w:p>
      <w:r>
        <w:t>supra ), à 1’600 fr., après compensation.</w:t>
      </w:r>
    </w:p>
    <w:p>
      <w:r>
        <w:rPr>
          <w:b/>
        </w:rPr>
        <w:t>E. 9.3</w:t>
      </w:r>
    </w:p>
    <w:p>
      <w:r>
        <w:t>Le conseil de l’appelant a indiqué, dans sa liste d’opérations, avoir consacré 7 heures et 45 minutes au dossier. Vu la nature du litige et la difficulté de la cause, il y a lieu d’admettre ce décompte. Il convient toutefois de retenir un forfait de débours de 2%, et non le montant annoncé par le conseil à cet égard (cf. art. 3bis al. 1 RAJ [règlement sur l’assistance judiciaire en matière civile du 7 décembre 2010 ; BLV 211.02.3]). Il s’ensuit qu’au tarif horaire de 180 fr., l’indemnité du conseil d’office de l’appelant doit être fixée à 1’395 fr., montant auquel s’ajoutent les débours forfaitaires, par 27 fr. 90, et la TVA sur le tout, par 109 fr. 55, soit à 1’532 fr. 45 au total, arrondi à 1’533 francs. Le conseil de l’intimée a indiqué, dans sa liste d’opérations, avoir consacré</w:t>
      </w:r>
    </w:p>
    <w:p>
      <w:r>
        <w:rPr>
          <w:b/>
        </w:rPr>
        <w:t>E. 9.4</w:t>
      </w:r>
    </w:p>
    <w:p>
      <w:r>
        <w:t>Les bénéficiaires de l’assistance judiciaire sont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9.5</w:t>
      </w:r>
    </w:p>
    <w:p>
      <w:r>
        <w:t>La charge des dépens de deuxième instance étant évaluée à 2’000 fr. (art. 3 al. 2 et 7 TDC [tarif des dépens en matière civile du 23 novembre 2010 ; BLV 270.11.6]), l’appelant versera à l’intimée des dépens réduits de deuxième instance, arrêtés, selon la même clé de répartition que ci-dessus (cf. consid. 9.1 et</w:t>
      </w:r>
    </w:p>
    <w:p>
      <w:r>
        <w:rPr>
          <w:b/>
        </w:rPr>
        <w:t>E. 10</w:t>
      </w:r>
    </w:p>
    <w:p>
      <w:r>
        <w:t>heures et 15 minutes au dossier. Vu la nature du litige et la difficulté de la cause, il y a lieu d’admettre ce décompte. Il convient toutefois de retenir un forfait de débours de 2%, et non 5% comme annoncé par le conseil (cf. art. 3bis al. 1 RAJ). Il s’ensuit qu’au tarif horaire de 180 fr., l’indemnité du conseil d’office de l’intimée doit être fixée à 1’845 fr., montant auquel s’ajoutent les débours forfaitaires, par 36 fr. 90, et la TVA sur le tout, par 144 fr. 90, soit à 2’026 fr. 80 au total, arrondi à 2’027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