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128/2011/PBH vom 30. September 2011</w:t>
      </w:r>
    </w:p>
    <w:p>
      <w:r>
        <w:t>VD Tribunal cantonal, 2011-09-30, FR</w:t>
      </w:r>
    </w:p>
    <w:p>
      <w:r>
        <w:rPr>
          <w:b/>
        </w:rPr>
        <w:t xml:space="preserve">Quelle: </w:t>
      </w:r>
      <w:r>
        <w:t>https://mcp.opencaselaw.ch/entscheid/vd_findinfo_128_2011_PBH</w:t>
      </w:r>
    </w:p>
    <w:p>
      <w:r>
        <w:t>FR: VD_FINDINFO 128/2011/PBH du 30 septembre 2011</w:t>
      </w:r>
    </w:p>
    <w:p>
      <w:r>
        <w:t>IT: VD_FINDINFO 128/2011/PBH del 30 settembre 2011</w:t>
      </w:r>
    </w:p>
    <w:p>
      <w:pPr>
        <w:pStyle w:val="Heading2"/>
      </w:pPr>
      <w:r>
        <w:t>Regeste</w:t>
      </w:r>
    </w:p>
    <w:p>
      <w:r>
        <w:t>DÉCISION DE RENVOI | 448 al. 1 CPC, 448 al. 4 CPC</w:t>
      </w:r>
    </w:p>
    <w:p>
      <w:pPr>
        <w:pStyle w:val="Heading2"/>
      </w:pPr>
      <w:r>
        <w:t>Erwägungen</w:t>
      </w:r>
    </w:p>
    <w:p>
      <w:r>
        <w:rPr>
          <w:b/>
        </w:rPr>
        <w:t>E. 4</w:t>
      </w:r>
    </w:p>
    <w:p>
      <w:r>
        <w:t>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En l'espèce, les dépens doivent être fixés, en tenant compte du fait que le premier jugement avait retenu que les demandeurs avaient obtenu gain de cause et qu'ils avaient ainsi droit à l'allocation de pleins dépens, à hauteur de 15'125 fr., dont 8'400 fr. à titre de participation aux honoraires et débours de leur conseil. Les demandeurs obtiennent une seconde fois gain de cause, ce qui justifie de leur allouer un montant supplémentaire de 2'100 fr., à titre de participation aux honoraires et débours de leur conseil. Ils ont ainsi droit à de pleins dépens, à la charge de la défenderesse, qu'il convient d'arrêter à 17'225 fr., savoir : a) 10'000 fr. à titre de participation aux honoraires de leur conseil; b) 500 fr. pour les débours de celui‑ci; c) 6'725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