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127/II vom 6. Juli 2009</w:t>
      </w:r>
    </w:p>
    <w:p>
      <w:r>
        <w:t>VD Tribunal cantonal, 2009-07-06, FR</w:t>
      </w:r>
    </w:p>
    <w:p>
      <w:r>
        <w:rPr>
          <w:b/>
        </w:rPr>
        <w:t xml:space="preserve">Quelle: </w:t>
      </w:r>
      <w:r>
        <w:t>https://mcp.opencaselaw.ch/entscheid/vd_findinfo_127_II</w:t>
      </w:r>
    </w:p>
    <w:p>
      <w:r>
        <w:t>FR: VD_FINDINFO 127/II du 6 juillet 2009</w:t>
      </w:r>
    </w:p>
    <w:p>
      <w:r>
        <w:t>IT: VD_FINDINFO 127/II del 6 luglio 2009</w:t>
      </w:r>
    </w:p>
    <w:p>
      <w:pPr>
        <w:pStyle w:val="Heading2"/>
      </w:pPr>
      <w:r>
        <w:t>Regeste</w:t>
      </w:r>
    </w:p>
    <w:p>
      <w:r>
        <w:t>HONORAIRES, AVOCAT, MODÉRATION | 45 al. 1 LPAv, 50 LPAv, 98 LPA-VD</w:t>
      </w:r>
    </w:p>
    <w:p>
      <w:pPr>
        <w:pStyle w:val="Heading2"/>
      </w:pPr>
      <w:r>
        <w:t>Erwägungen</w:t>
      </w:r>
    </w:p>
    <w:p>
      <w:r>
        <w:rPr>
          <w:b/>
        </w:rPr>
        <w:t>E. 1</w:t>
      </w:r>
    </w:p>
    <w:p>
      <w:r>
        <w:t>Selon l'art. 50 al. 2 LPAv (Loi du 24 septembre 2002 sur la profession d'avocat; RSV 177.11), les décisions relatives à des contestations en matière de fixation d'honoraires et de débours dus par un client à son avocat ressortissent au Président de la Chambre des avocats, lorsque la note concerne une affaire n'ayant pas fait l'objet d'un litige. En vertu de l'art. 51 LPAv, la décision de modération peut faire l'objet d'un recours. Celui-ci, depuis le 1 er janvier 2008, ne doit plus être adressé à la Cour de modération qui a été supprimée (art. 67 et 73 al. 2 LOJV [Loi du 12 décembre 1979 d'organisation judiciaire; RSV 173.01), mais à la Chambre des recours, plus précisément à la deuxième Chambre des recours en vertu de l'art. 20 al. 1 in fine ROTC (Règlement organique du Tribunal cantonal du 13 novembre 2007; RSV 173.31.1) dans sa teneur dès le 1 er avril 2009. Jusqu'au 1 er janvier 2009, date d'entrée en vigueur de la LPA-VD (Loi du 28 octobre 2008 sur la procédure administrative; RSV 173.36) qui a abrogé la LJPA (Loi du 18 décembre 1989 sur la juridiction et la procédure administratives), le délai de recours était de vingt jours dès la notification de la décision (art. 51 a LPAv). La procédure est dorénavant régie par la LPA-VD (cf. art. 117 LPA-VD), qui prévoit un délai de recours de trente jours dès la notification de la décision attaquée (art. 95 LPA-VD). Tant selon l'art. 31 al. 2 aLJPA que selon l'art. 79 LPA-VD (applicable par renvoi de l'art. 99 LPA-VD), l'acte de recours doit être signé et indiquer les conclusions et motifs du recours. En l'espèce, l'acte de recours permet de comprendre que la recourante sollicite la réduction des honoraires. Cette conclusion est recevable en matière de modération. En outre, interjeté en temps utile et dans les formes requises, le recours est recevable.</w:t>
      </w:r>
    </w:p>
    <w:p>
      <w:r>
        <w:rPr>
          <w:b/>
        </w:rPr>
        <w:t>E. 2</w:t>
      </w:r>
    </w:p>
    <w:p>
      <w:r>
        <w:t>Aux termes de l'art. 98 LPA-VD, le recourant peut invoquer la violation du droit, y compris l'excès ou l'abus du pouvoir d'appréciation (a) et la constatation inexacte ou incomplète des faits pertinents (b).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a) 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article 37 LB (Loi du 22 novembre 1944 sur le Barreau; Bulletin du Grand Conseil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JT 2003 III 67 c. 1e; voir aussi TF, arrêt 4P.342/2006 du 5 mars 2007, c. 4.1 et les références citées). Les avocats n'ont pas l'obligation de tenir un décompte des heures consacrées à l'exécution de leur mandat (JT 2006 III 38 et 2003 III 67 précités; Jomini, Les honoraires et débours de l'avocat vaudois et leur modération, in JT 1982 III 2 n. 2, 7 et 10, pp. 3 à 6). b) Selon la note d'honoraires, l'avocat a consacré 5 h 45 au dossier. Ses opérations, toujours selon cette note, ont consisté en l'étude du dossier (deux classeurs fédéraux contenant la procédure ayant abouti au jugement définitif et exécutoire), deux conférences avec la cliente, ainsi que des conférences téléphoniques et des correspondances avec celle-ci. La recourante conteste le temps consacré par l'avocat à sa cause. Elle fait valoir que le deuxième entretien était superflu et aurait dû durer moins de deux heures, l'avocat répétant toujours les mêmes choses. Elle fait valoir en outre n'avoir apporté qu'un seul classeur de pièces, qui n'était pas plein, en fournissant à l'intimé un résumé lors du premier entretien et notant les chapitres qu'il fallait étudier, ce qui aurait dû faciliter son étude du dossier. La durée de la deuxième conférence ne paraît guère contestable. Il n'appartient pas au juge de la modération de trancher du bien-fondé de cette conférence ni si elle aurait dû durer moins longtemps. On ne saurait faire de reproche à l'avocat d'avoir tenté d'expliquer au mieux les raisons pour lesquelles le statu quo paraissait la meilleure solution compte tenu des circonstances à une cliente qui paraissait très insatisfaite de l'issue de la procédure terminée. Si cette dernière estimait que la conférence était trop longue, elle aurait pu y mettre fin avant. Sur le second point, les pièces remises ont été restituées à la cliente et ne figurent plus au dossier. Dans ses déterminations les plus complètes (celles au bâtonnier Schupp du 24 février 2009), l'avocat fait cependant état du fait que la recourante lui a remis "un classeur fédéral entièrement rempli de documents concernant sa première procédure". On doit admettre qu'il existait un seul classeur et que son examen était facilité par les indications données par la cliente. Dans ces circonstances, les 3h45 facturées restantes, principalement pour l'étude du dossier et la première conférence, dont la durée exacte n'est pas connue mais ne paraît pas avoir été longue, la cliente ayant remis les pièces et donné les premières explications nécessaires à leur étude, paraissent exagérées. La Cour de céans retient qu'une durée de 2h30 pour ces autres opérations est suffisante. La note d'honoraires sera ainsi modérée à 4h30, au tarif horaire de 350 fr. - tarif qui n'est à juste titre pas remis en cause en recours -, soit 1'575 fr., TVA non comprise.</w:t>
      </w:r>
    </w:p>
    <w:p>
      <w:r>
        <w:rPr>
          <w:b/>
        </w:rPr>
        <w:t>E. 4</w:t>
      </w:r>
    </w:p>
    <w:p>
      <w:r>
        <w:t>En définitive, le recours est partiellement admis. La recourante a droit au remboursement de la moitié de son coupon de justice, à titre de dépens réduits de deuxième instance. Par ces motifs, la Chambre des recours du Tribunal cantonal, statuant à huis clos, prononce : I. Le recours est partiellement admis. II. Le prononcé est réformé au chiffre I de son dispositif comme il suit : I. Modère la note d'honoraires et débours adressée le 20 février 2009 par l'avocat G.________, à Lausanne, à X.________, à [...], à la somme de 1'575 fr. (mille cinq cent septante-cinq francs), plus 119 fr. 70 (cent dix-neuf francs et septante centimes) à titre de TVA, soit 1'694 fr. 70 (mille six cent nonante-quatre francs et septante centimes). Il est confirmé pour le surplus. III. Les frais de deuxième instance de la recourante sont arrêtés à 150 fr. (cent cinquante francs). IV. L'intimé G.________ doit verser à la recourante X.________ la somme de 75 fr. (septante-cinq francs) à titre de dépens de deuxième instance. V. L'arrêt motivé est exécutoire. L e président : L e greffi er : Du 6 juillet 2009 Le dispositif de l'arrêt qui précède est communiqué par écrit aux intéressés. L e greffi er : Du L'arrêt qui précède, dont la rédaction a été approuvée à huis clos, est notifié en expédition complète, par l'envoi de photocopies, à : ‑      Mme X.________, ‑      Me G.________. La Chambre des recours considère que la valeur litigieuse est de 2'165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Chambre des avocats.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