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126/II vom 6. Juli 2009</w:t>
      </w:r>
    </w:p>
    <w:p>
      <w:r>
        <w:t>VD Tribunal cantonal, 2009-07-06, FR</w:t>
      </w:r>
    </w:p>
    <w:p>
      <w:r>
        <w:rPr>
          <w:b/>
        </w:rPr>
        <w:t xml:space="preserve">Quelle: </w:t>
      </w:r>
      <w:r>
        <w:t>https://mcp.opencaselaw.ch/entscheid/vd_findinfo_126_II</w:t>
      </w:r>
    </w:p>
    <w:p>
      <w:r>
        <w:t>FR: VD_FINDINFO 126/II du 6 juillet 2009</w:t>
      </w:r>
    </w:p>
    <w:p>
      <w:r>
        <w:t>IT: VD_FINDINFO 126/II del 6 luglio 2009</w:t>
      </w:r>
    </w:p>
    <w:p>
      <w:pPr>
        <w:pStyle w:val="Heading2"/>
      </w:pPr>
      <w:r>
        <w:t>Regeste</w:t>
      </w:r>
    </w:p>
    <w:p>
      <w:r>
        <w:t>MESURE DE CONTRAINTE{DROIT DES ÉTRANGERS} | 76 al. 1 let. b ch. 3 LEtr, 30 LVLEtr, 31 LVLEtr</w:t>
      </w:r>
    </w:p>
    <w:p>
      <w:pPr>
        <w:pStyle w:val="Heading2"/>
      </w:pPr>
      <w:r>
        <w:t>Erwägungen</w:t>
      </w:r>
    </w:p>
    <w:p>
      <w:r>
        <w:rPr>
          <w:b/>
        </w:rPr>
        <w:t>E. 1</w:t>
      </w:r>
    </w:p>
    <w:p>
      <w:r>
        <w:t>er janvier 2008, qui a remplacé l'ancienne loi du 29 août 1934 d'application dans le Canton de Vaud de la LSEE (aLVLSEE), régit la présente procédure.</w:t>
      </w:r>
    </w:p>
    <w:p>
      <w:r>
        <w:rPr>
          <w:b/>
        </w:rPr>
        <w:t>E. 2</w:t>
      </w:r>
    </w:p>
    <w:p>
      <w:r>
        <w:t>let. c ROTC [règlement organique du Tribunal cantonal du 13 novembre 2007; RSV 173.31.1]). La Chambre des recours revoit librement la décision de première instance, elle établit les faits d'office et peut ordonner à cet effet toutes les mesures d'instruction qu'elle juge utiles (art. 30 al. 1 et 2 LVLEtr). Déposé en temps utile par le recourant, qui y a intérêt, le recours est recevable (art. 30 al. 2 LVLEtr). Les pièces produites par les parties peuvent être versées au dossier.</w:t>
      </w:r>
    </w:p>
    <w:p>
      <w:r>
        <w:rPr>
          <w:b/>
        </w:rPr>
        <w:t>E. 3</w:t>
      </w:r>
    </w:p>
    <w:p>
      <w:r>
        <w:t>La Juge de paix du district de Lausanne, autorité compétente selon les articles 11 et 17 LVLEtr, a procédé à l'audition du recourant le 11 juin 2009 et a tenu un procès-verbal sommaire (art. 21 al. 2 LVLEtr), soit dans les vingt-quatre heures dès le moment où le recourant a été arrêté, et a immédiatement rendu un ordre de détention, puis sa décision motivée dans les nonante-six heures (art. 16 al. 1 LVLEtr; art. 6 al. 2 aLVLSEE). Les propos du recourant ont été résumés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4</w:t>
      </w:r>
    </w:p>
    <w:p>
      <w:r>
        <w:t>a) Selon l'art. 76 al. 1 let. b ch. 3 et 4 LEtr, lorsqu'une décision de renvoi ou d'expulsion de première instance a été notifiée, l'autorité compétente peut, afin d'en assurer l'exécution, mettre la personne concernée en détention notamment : - ch. 3 : si des éléments concrets font craindre que celle-ci entende se soustraire au renvoi ou à l'expulsion, en particulier parce qu'elle ne se soumet pas à son obligation de collaborer en vertu de l'art. 90 LEtr ou de l'art. 8 al. 1 let. a ou al. 4 LAsi; - ch. 4 : si son comportement permet de conclure qu'elle se refuse à obtempérer aux instructions des autorités. Ces deux chiffres décrivent des comportements permettant de conclure à l'existence d'un risque de fuite ou de disparition (Untertauchensgefahr); il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En l'espèce, le recourant a clairement indiqué devant le premier juge qu'il n'entendait pas rentrer dans son pays d'origine. Précédemment, il n'est pas revenu à l'établissement de Pramont le 6 avril 2009 et en a fugué plusieurs jours, après avoir appris que des démarches étaient effectuées en vue de son renvoi. En faisant valoir en recours qu'il serait inadéquat de le renvoyer dans un pays avec lequel il n'a plus d'attache, le recourant confirme implicitement ne pas être disposé à retourner dans son pays d'origine. Les conditions de l'art. 76 al. 1 let. b ch. 4 LEtr sont ainsi réalisées. b) Au demeurant, même si le premier juge n'en a pas fait état, il y a lieu de relever que la condition de détention de l'art. 75 al. 1 let. h LEtr en relation avec l'art. 76 al. 1 let. b ch. 1 LEtr est également remplie. Selon l'art. 75 al. 1 let. h LEtr, la détention peut être ordonnée à l'encontre de la personne qui a été condamnée pour crime. En l'espèce, par jugement du 14 mai 2007, le Tribunal des mineurs a constaté que le recourant s'était rendu coupable d'assassinat, vol, brigandage qualifié, séquestration et enlèvement, incendie intentionnel, atteinte à la paix des morts, tentative de vol d'usage d'un véhicule automobile et contravention à l'art. 19a ch. 1 LStup et a ordonné son placement en établissement fermé. Au vu de la gravité extrême de ces faits, la détention est également justifiée sur la base de l'art. 75 al. 1 let. h LEtr. c) L'art. 80 al. 6 let. a LEtr prévoit que la détention est levée si le motif de la détention n'existe plus ou l'exécution du renvoi ou de l'expulsion s'avère impossible pour des raisons juridiques ou matérielles. Pour déterminer si le renvoi est possible, il y a lieu de faire un pronostic. Des difficultés pour exécuter le renvoi ou même certains doutes sur la possibilité de parvenir à chef en temps utile ne suffisent pas pour exclure la détention. Ce n'est que lorsque aucune possibilité ou une possibilité théorique et totalement invraisemblable d'exécuter le renvoi existe que la détention doit être levée (ATF 130 II 56 c. 4.1.3 p. 61). Ce pronostic est provisoire et doit être réexaminé lors d'une demande de levée de détention ou lors d'une prolongation de celle-ci, selon les résultats ou l'absence de résultat des démarches entreprises dans l'intervalle, compte tenu du temps restant à disposition au moment où la question doit être réexaminée (Wurzburger, La jurisprudence récente du Tribunal fédéral en matière de police des étrangers, RDAF 1997 I 330, spéc. p. 331). Ces considérations émises dans le cadre de l'ancienne LSEE restent valables sous le nouveau droit. Enfin, la détention (respectivement sa durée) doit respecter le principe de la proportionnalité (ATF 125 II 377 c. 4 p. 383). Les autorités doivent entreprendre sans tarder les démarches nécessaires (établissement de l'identité et de l'origine, obtention d'un document de voyage, etc.) à l'exécution de la mesure d'éloignement (principe de la diligence ou de la célérité; TF 2A.606/2003 du 8 janvier 2004 c. 3; cf. ATF 124 II 49 ss, JT 2000 IV 13). Dans le cas particulier, le renvoi paraît pouvoir être effectué dans le délai maximal de détention et les démarches en vue du renvoi se poursuivent sans discontinuer, le SPOP ayant d'ores et déjà reçu la copie du laissez-passer établi par le Département fédéral de justice et police à la suite de la reconnaissance du recourant par les autorités kosovares. Les principes de diligence et de proportionnalité sont dès lors respectés.</w:t>
      </w:r>
    </w:p>
    <w:p>
      <w:r>
        <w:rPr>
          <w:b/>
        </w:rPr>
        <w:t>E. 5</w:t>
      </w:r>
    </w:p>
    <w:p>
      <w:r>
        <w:t>En conclusion, le recours doit être rejeté et l'ordonnance confirmée. L'arrêt peut être rendu sans frais. Par ces motifs, la Chambre des recours du Tribunal cantonal, statuant à huis clos, prononce : I. Le recours est rejeté. II. L'ordonnance est confirmée. III. Il n'est pas perçu de frais. IV. L'arrêt motivé est exécutoire. Le président : La greffière : Du 6 juillet 2009 Le dispositif de l'arrêt qui précède est communiqué par écrit aux intéressés. La greffière : Du L'arrêt qui précède, dont la rédaction a été approuvée à huis clos, est notifié en expédition complète, par l'envoi de photocopies, à : ‑      M e Laurent de Mestral (pour H.________), ‑ Service de la population,Secteur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