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117/II vom 10. Juli 2009</w:t>
      </w:r>
    </w:p>
    <w:p>
      <w:r>
        <w:t>VD Tribunal cantonal, 2009-07-10, FR</w:t>
      </w:r>
    </w:p>
    <w:p>
      <w:r>
        <w:rPr>
          <w:b/>
        </w:rPr>
        <w:t xml:space="preserve">Quelle: </w:t>
      </w:r>
      <w:r>
        <w:t>https://mcp.opencaselaw.ch/entscheid/vd_findinfo_117_II</w:t>
      </w:r>
    </w:p>
    <w:p>
      <w:r>
        <w:t>FR: VD_FINDINFO 117/II du 10 juillet 2009</w:t>
      </w:r>
    </w:p>
    <w:p>
      <w:r>
        <w:t>IT: VD_FINDINFO 117/II del 10 luglio 2009</w:t>
      </w:r>
    </w:p>
    <w:p>
      <w:pPr>
        <w:pStyle w:val="Heading2"/>
      </w:pPr>
      <w:r>
        <w:t>Regeste</w:t>
      </w:r>
    </w:p>
    <w:p>
      <w:r>
        <w:t>MOYEN DE DROIT, RETRAIT{VOIE DE DROIT} | 165 ORC</w:t>
      </w:r>
    </w:p>
    <w:p>
      <w:pPr>
        <w:pStyle w:val="Heading2"/>
      </w:pPr>
      <w:r>
        <w:t>Volltext</w:t>
      </w:r>
    </w:p>
    <w:p>
      <w:r>
        <w:t>Vaud Tribunal cantonal Chambre des recours civile 23.06.2009 117/II</w:t>
      </w:r>
    </w:p>
    <w:p>
      <w:r>
        <w:t>MOYEN DE DROIT, RETRAIT{VOIE DE DROIT} | 165 ORC</w:t>
      </w:r>
    </w:p>
    <w:p>
      <w:r>
        <w:t>TRIBUNAL CANTONAL 117/II CHAMBRE DES RECOURS ________________________________ Arrêt du 10 juillet 2009 __________________ Présidence de   M. Denys , président Juges :           MM. Battistolo et Giroud Greffier : Mme Cardinaux ***** Art. 165 ORC Vu le dispositif de l'ordonnance de mesures provisionnelles du 8 avril 2009 de la Présidente du Tribunal civil de l'arrondissement de Lausanne dans la cause divisant B.________ , à Paris (France), E.________ et P.________ , à Puteaux (France), d'avec O.________ , à Crissier, et S.________ , à Crissier, ordonnant notamment au Préposé au Registre du commerce du canton de Vaud (ci-après : le préposé) de procéder à la  radiation en tant qu'administrateurs d'O.________ de F.________ et de N.________ et à l'inscription de S.________ en tant qu'administrateur d'O.________, avec pouvoir de signature individuelle (III) et déclarant l'ordonnance immédiatement exécutoire (IV), vu la décision du 9 avril 2009 par laquelle le préposé a procédé à la radiation en tant qu'administrateurs d'O.________ de F.________ et de N.________ et à l'inscription de S.________ en tant qu'administrateur d'O.________ avec signature individuelle, vu le recours (avec conclusions préprovisionnelles et provisionnelles) interjeté le 30 avril 2009 par B.________, E.________, et P.________ contre cette décision et les pièces produites à l'appui de ce recours, vu la lettre du 8 juin 2009 par laquelle le préposé a déclaré qu'il renonçait à produire des déterminations, vu le mémoire responsif du 12 juin 2009 par lequel l'intimée O.________ a conclu à l'irrecevabilité du recours, subsidiairement à son rejet et vu les pièces produites à l'appui de ce mémoire, vu les déterminations déposées le 12 juin 2009 par lesquelles l'intimé S.________ a conclu au rejet du recours, vu la lettre datée du 11 juin 2009 et mise à la poste le 12 juin 2009 par laquelle les recourants ont déclaré au Président de la Chambre des recours qu'ils retiraient leur recours, vu la lettre du 16 juin 2009 par laquelle le conseil de l'intimée O.________ a conclu à l'allocation de pleins dépens, en faisant valoir que les recourants connaissaient "la situation juridique depuis le 8 mai 2009 au plus tard et qu'ils ont délibérément attendu le 12 juin 2009, date impartie à [sa] mandante et à M. S.________ pour procéder pour indiquer qu'ils retiraient leur recours dans le seul et unique but de laisser [sa] mandante procéder afin de lui occasionner des frais", vu la télécopie du 16 juin 2009 par lequel le conseil de l'intimé S.________ a conclu à l'allocation de pleins dépens en se référant aux arguments développés par l'intimée O.________ dans sa lettre du 16 juin 2009, vu les autres pièces du dossier; attendu que les art. 73 à 99 LPA-VD (loi sur la procédure administrative, RSV 173.36) sont applicables par analogie au contenieux relatif à la tenue du registre du commerce vu la nature publique des intérêts que doit principalement protéger le préposé, que, par lettre du 11 juin 2009, les recourants ont déclaré retirer leur recours, qu'il y a lieu de prendre acte du retrait du recours de B.________, E.________ et P.________, ce qui vaut aussi pour les mesures provisionnelles requises, que la cause doit être rayée du rôle; attendu que les frais de deuxième instance des recourants sont arrêtés à 500 fr. (art. 6 TFJAP [tarif des frais judiciaires en matière de droit administratif et public, RSV 173.36.5.1]); attendu que, dans leurs lettre et télécopie du 16 juin 2009, les intimés ont conclu à l'allocation de pleins dépens en soutenant que les recourants auraient attendu le 12 juin 2009 (date fixée aux intimés pour déposer leur mémoire) pour retirer leur recours dans le seul et unique but de laisser les intimés "procéder afin de [leur] occasionner des frais", que ce n'est pas tant l'envoi d'un mémoire réponse qui crée le droit à des dépens, mais les opérations nécessaires à la prépration et à l'expédition dudit mémoire, qu'en attendant la veille du délai pour retirer leur recours, avec une communication qui ne pouvait au mieux parvenir aux intimés que le 12 juin 2009, soit le jour qui leur était imparti pour déposer leur mémoire, les recourants se sont exposés à devoir payer des dépens, que, compte tenu du retrait du recours, les autres parties à la procédure de recours ont droit à des dépens fixés à 2'000 fr. pour chaque partie, à la charge des recourants (art. 56 LPA-VD). Par ces motifs, la Chambre des recours du Tribunal cantonal, statuant à huis clos, I. Prend acte du retrait du recours. II. Raye la cause du rôle. III. Met les frais de deuxième instance par 500 fr. (cinq cents francs) à la charge des recourants. IV. Dit que les recourants B.________, E.________ et P.________, solidairement entre eux, verseront à O.________ la somme de 2'000 francs (deux mille francs) et à S.________la somme de 2'000 francs (deux mille francs), à titre de dépens de deuxième instance. V. Déclare le présent arrêt exécutoire. Le président : La greffière : Du L'arrêt qui précède, dont la rédaction a été approuvée à huis clos, est notifié à : ‑      M e Yves Burnand (pour B.________, E.________ et P.________), ‑      M e Alain Dubuis (pour O.________), -      Me Antoine Eigenmann (pour S.________). Il prend date de ce jour. La Chambre des recours considère que la valeur litigieuse est de 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Préposé au Registre du commerce du canton de Vaud, rue Grenade 38, 1510 Moudon, ‑ Office fédéral du Registre du commerce, Taubenstrasse 16, 3003 Bern.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