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116/II vom 23. Juni 2009</w:t>
      </w:r>
    </w:p>
    <w:p>
      <w:r>
        <w:t>VD Tribunal cantonal, 2009-06-23, FR</w:t>
      </w:r>
    </w:p>
    <w:p>
      <w:r>
        <w:rPr>
          <w:b/>
        </w:rPr>
        <w:t xml:space="preserve">Quelle: </w:t>
      </w:r>
      <w:r>
        <w:t>https://mcp.opencaselaw.ch/entscheid/vd_findinfo_116_II</w:t>
      </w:r>
    </w:p>
    <w:p>
      <w:r>
        <w:t>FR: VD_FINDINFO 116/II du 23 juin 2009</w:t>
      </w:r>
    </w:p>
    <w:p>
      <w:r>
        <w:t>IT: VD_FINDINFO 116/II del 23 giugno 2009</w:t>
      </w:r>
    </w:p>
    <w:p>
      <w:pPr>
        <w:pStyle w:val="Heading2"/>
      </w:pPr>
      <w:r>
        <w:t>Regeste</w:t>
      </w:r>
    </w:p>
    <w:p>
      <w:r>
        <w:t>POUVOIR D'EXAMEN LIBRE, OBLIGATION D'ENTRETIEN, REVENU HYPOTHÉTIQUE | 125 CC, 138 CC, 452 al. 1ter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déposé à temps, est formellement recevable. Il tend à la réforme du jugement et subsidiairement à la nullité.</w:t>
      </w:r>
    </w:p>
    <w:p>
      <w:r>
        <w:rPr>
          <w:b/>
        </w:rPr>
        <w:t>E. 2</w:t>
      </w:r>
    </w:p>
    <w:p>
      <w:r>
        <w:t>En règle générale, le Tribunal cantonal délibère en premier lieu sur les moyens de nullité (art. 470 al. 1 CPC). Il n'examine toutefois que les moyens dûment développés (Poudret/Haldy/Tappy, Procédure civile vaudoise, 3 ème éd., 2002, n. 2 ad art. 465, p. 722). En l'espèce, le recourant n'invoque aucun moyen de nullité à l'appui de son recours en nullité, de sorte que celui-ci doit être écarté. Il convient d'examiner le recours en réforme.</w:t>
      </w:r>
    </w:p>
    <w:p>
      <w:r>
        <w:rPr>
          <w:b/>
        </w:rPr>
        <w:t>E. 3</w:t>
      </w:r>
    </w:p>
    <w:p>
      <w:r>
        <w:t>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in JT 2003 I 193 c. 9.1, p. 207), mais bien la maxime des débats (ATF 129 III 481 c. 3.3, JT 2003 I 760, p. 766, FamPra.ch 2003 p. 147; ATF 128 III 411 c. 3.2.2, p. 414). Il en découle notamment que la Chambre des recours est liée par les conclusions des parties (art. 461 al. 1 let. b et al. 2 CPC) qui ne doivent être ni nouvelles, ni plus amples que celles prises en première instance (art. 452 al. 1 CPC). Toutefois, dans les procès en divorce, l'art. 138 CC (Code civil du 10 décembre 1907, RS 210) (repris à l'art. 374c CPC) déroge aux règles de la procédure cantonale (art. 452 al. 1 CPC; Poudret/Haldy/Tappy, op. cit., note ad art. 374c CPC, p. 577 et n. 6 ad art. 452 CPC,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p. 195, SJ 2005 I 442; ATF 131 III 91 c. 5.2.2, p. 95). En l'espèce, l'état de fait du jugement attaqué est conforme aux pièces du dossier. Il convient toutefois de corriger l'affirmation selon laquelle la deman-deresse ne dispose d'aucun avoir de prévoyance professionnelle (jugement, p. 4 en bas) dès lors qu'il résulte de la convention partielle sur les effets accessoires du divorce, ratifiée pour faire partie intégrante du jugement de divorce, qu'un transfert de prévoyance professionnelle d'un montant de 80'000 fr. doit être opéré en faveur de la prénommée. L'état de fait du jugement permet à la cour de céans de statuer en réforme.</w:t>
      </w:r>
    </w:p>
    <w:p>
      <w:r>
        <w:rPr>
          <w:b/>
        </w:rPr>
        <w:t>E. 4</w:t>
      </w:r>
    </w:p>
    <w:p>
      <w:r>
        <w:t>a)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Selon la réglementation légale, le montant et la durée de la contribution d'entretien doivent être fixés en tenant compte des éléments énumérés de façon non exhaustive à l'art. 125 al. 2 CC (ATF 129 III 7 c. 3.1, p. 8). Le juge doit notamment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5C.48/2001 du 28 août 2001, c. 4b, publié in FamPra.ch 2002 pp. 145 ss, spéc. p. 148).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ATF 132 III 598 c. 9.2, pp. 600-601) - durée à calculer jusqu'à la date de la séparation des parties (ATF 132 III 598 c. 9.2 p. 600; ATF 127 III 136 c. 2c p. 140) -, il a eu, en règle générale, une influence concrète. La jurisprudence considère également qu'indépendamment de sa durée, un mariage influence concrètement la situation des conjoints lorsque ceux-ci ont des enfants communs (TF 5C.278/2000 du 4 avril 2001 c. 3a; TF 5C.149/2004 du 6 octobre 2004 c. 4.3, publié in FamPra.ch 2005 p. 352; TF 5A_167/2007 du 1 er octobre 2007 c. 4). Aux termes de l'art. 125 al. 2 CC, la contribution d'entretien est fixée compte tenu notamment des expectatives de l'assurance-vieillesse et survivants et de la prévoyance professionnelle ou d'autres formes de prévoyance privée ou publique (cf. ATF 129 III 7 c. 3.1.2 p. 9 et 257 c. 3.4 p. 262), y compris du résultat prévisible du partage des prestations de sortie (ch. 8) ou de l'indemnité accordée en application de l'art. 124 al. 1 CC (TF 5C.6/2006 du 31 mars 2006, c. 4.2, publié in FamPra.ch 2006 pp. 925 ss, spéc. p. 926).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l'art. 125 al. 1 CC prescrit de procéder en trois étapes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durant le mariage constitue également la limite supérieure du droit à l'entretien convenable (TF 5A_345/2007 du 22 janvier 2008, FamPra.ch 2008 p. 621). Il faut ensuite examiner dans quelle mesure chacun des époux peut financer lui-même son propre entretien; le principe selon lequel chaque conjoint doit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solidarité (ATF 134 III 145  précité et les références mentionnées). c) Selon le système légal, les art. 122 à 124 CC règlent la question de la prévoyance professionnelle, c'est-à-dire des prestations acquises en lien avec une activité professionnelle. Cette question est indépendante de celle de la contribution d'entretien, même si les expectatives de prévoyance professionnelle sont l'un des éléments dont il faut tenir compte dans le cadre de l'application de l'art. 125 CC. La jurisprudence a précisé que, vu la systématique légale, il y avait lieu d'examiner la question de la contribution d'entretien après celles de la liquidation du régime matrimonial et des prétentions relatives à la prévoyance professionnelle (ATF 130 III 537 c. 4, JT 2005 I 111).</w:t>
      </w:r>
    </w:p>
    <w:p>
      <w:r>
        <w:rPr>
          <w:b/>
        </w:rPr>
        <w:t>E. 5</w:t>
      </w:r>
    </w:p>
    <w:p>
      <w:r>
        <w:t>En l'espèce, le mariage des époux a duré un peu plus de vingt-deux ans, dont dix-neuf ans de vie commune. Un enfant est né de cette union. Le mariage a eu une influence concrète et durable sur la situation économique des parties, et plus particulièrement sur celle la recourante qui, âgée de cinquante-trois ans au moment de la suspension de la vie commune et de cinquante-sept ans actuellement, a cessé toute activité professionnelle durant les trois premières années de mariage pour se consacrer à l'enfant, avant de reprendre une activité à temps partiel. Le principe d'une pension est acquis. Le recourant soutient que l'intimée serait en mesure de gagner un revenu mensuel de 4'000 fr. qui suffirait à couvrir ses charges. Un conjoint - y compris le créancier d'aliments (ATF 127 III 136 c. 2c p. 140)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p. 5; 127 III 136 c. 2a p. 139; 119 Il 314 c. 4a pp. 316-317). Les critères permettant de déterminer le montant du revenu hypothétique sont en particulier la qualification professionnelle, l'âge, l'état de santé et la situation du marché du travail (cf. ATF 128 III 4 c. 4c/cc p. 8; TF 5C.94/2003 du 17 juillet 2003 c. 3.1, résumé in FamPra.ch 2004 p. 129). Savoir si l'on peut raisonnablement exiger du débiteur qu'il réalise un revenu est une question de droit; en revanche, savoir quel revenu l'intéressé a la possibilité effective d'obtenir est une question de fait (ATF 128 III 4 c. 4c/bb p. 7; 126 III 10 c. 2b pp. 12-13; TF 5A_460/2008 du 30 octobre 2008). Toujours est-il selon la jurisprudence que, après un mariage de vingt ans, avec un âge avancé et une santé fragile, les chances de l'ex-épouse sur le marché du travail sont restreintes, même avec une bonne formation (TF 5A_679/2007 du 13 octobre 2008). L'intimée, âgée de cinquante-sept ans, n'a pas de formation profession-nelle. Elle faisait des ménages pendant la vie commune et elle a dû abandonner pour des raisons de santé l'emploi qu'elle a occupé quelque temps dans une boulangerie. Elle a en effet souffert de dépression, provoquée essentiellement par la procédure de divorce, et elle ne pouvait, encore en 2008, travailler à un taux supérieur à 50 pour-cent. Compte tenu de l'absence de toute formation professionnelle, compliquée par une situation de santé fragile et, surtout, par le fait que l'intimée a cinquante-sept ans, il n'est pas possible d'imputer à la prénommée un revenu supérieur au montant de 3'000 fr. arrêté par les premiers juges. Ce montant représente déjà un maximum de ce qui peut être raisonnablement espéré compte tenu de l'ensemble des circonstances. Un tel revenu hypothétique permet à l'intimée de couvrir uniquement ses charges, qui s'élèvent selon le jugement à 2'975 fr. 40, impôts non compris, alors qu'un disponible notable existe chez le recourant. En effet, les premiers juges ont arrêté les charges de celui-ci à 3'143 fr. 60. Il faut toutefois ajouter une majoration de 20 % pour le minimum vital de base et pour les frais de transports modestement estimés à 100 fr., ce qui porte le minimum vital élargi à 3'383 fr. 60. Compte tenu d'un revenu mensuel de 5'000 fr., le disponible du recourant est de peu supérieur à 1'600 fr., sans prise en compte de la charge fiscale. Dans les circonstances du cas d'espèce, le droit de l'intimée à une pension jusqu'à sa retraite ne fait pas de doute. Cependant, la pension allouée de 800 fr. est quelque peu élevée : elle représente la moitié du disponible du débirentier alors qu'il faut encore tenir compte de la charge fiscale de celui-ci. En l'occurrence, il se justifie d'arrêter le montant de la contribution d'entretien à 500 fr. par mois.</w:t>
      </w:r>
    </w:p>
    <w:p>
      <w:r>
        <w:rPr>
          <w:b/>
        </w:rPr>
        <w:t>E. 6</w:t>
      </w:r>
    </w:p>
    <w:p>
      <w:r>
        <w:t>Il s'ensuit que le recours doit être partiellement admis et le jugement réformé au chiffre V de son dispositif en ce sens que la contribution mensuelle d'entretien due par le demandeur en faveur de la défenderesse est de 500 fr., jusqu'à ce que la bénéficiaire ait atteint l'âge donnant droit aux prestations de l'AVS, étant précisé que la contribution d'entretien doit être fixée dès jugement définitif et exécutoire et que pendant la litispendance, la question de la contribution reste régie par les mesures provisionnelles - en l'occurrence l'ordonnance de mesures provisionnelles du 10 mars 2008 -, qui règlent la situation litispendantielle d'une manière que ne peut pas revoir le jugement de divorce (Tappy, Quelques aspects de la procédure de mesures provisionnelles, spécialement en matière matrimoniale, in JT 1994 III 33, spéc. p. 41 au sujet de l'art. 145 aCC, repris à l'art. 137 al. 2 CC, Message FF 1996 I 1ss, n° 234.4, p. 140; Sutter/Freiburghaus, Kommentar zum neuen Scheidungsrecht, 1999, n. 41 ad art. 137 CC, p. 474 et références). Le jugement est confirmé pour le surplus. Les frais de deuxième instance du recourant sont arrêtés à 800 fr. (art. 233 TFJC, tarif du 4 décembre 1984 des frais judiciaires en matière civile, RSV 270.11.5). Obtenant partiellement gain de cause, le recourant a droit à des dépens de deuxième instance réduits de moitié, fixés à 800 fr. (de pleins dépens équivalent à 1'600 fr., soit 800 fr. à titre de remboursement de ses frais de justice et 800 fr. à titre de participation aux honoraires et débours de son conseil) (art. 91 et 92 CPC). Par ces motifs, la Chambre des recours du Tribunal cantonal, statuant à huis clos, prononce : I. Le recours est partiellement admis. II. Le jugement est réformé comme il suit, à son chiffre V : V. Dit que A.N.________ doit contribuer à l'entretien de B.N.________ par le versement d'avance le premier de chaque mois dès jugement définitif et exécutoire d'une pension mensuelle de 500 fr. (cinq cents francs) et jusqu'à ce qu'elle atteigne l'âge donnant droit aux prestations de l'AVS. Il est confirmé pour le surplus. III. Les frais de deuxième instance du recourant sont arrêtés à 800 fr. (huit cents francs). IV. B.N.________ doit payer à A.N.________ la somme de 800 fr. (huit cents francs) à titre de dépens réduits de deuxième instance. V. L'arrêt motivé est exécutoire. L e président : L a greffi ère : Du 23 juin 2009 Le dispositif de l'arrêt qui précède est communiqué par écrit aux intéressés. L a greffi ère : Du L'arrêt qui précède, dont la rédaction a été approuvée à huis clos, est notifié en expédition complète, par l'envoi de photocopies, à : ‑      Me Albert J. Graf (pour A.N.________), ‑      Me Bernadette Schindler Velasco (pour B.N.________).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