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116/2010/PMR vom 6. September 2010</w:t>
      </w:r>
    </w:p>
    <w:p>
      <w:r>
        <w:t>VD Tribunal cantonal, 2010-09-06, FR</w:t>
      </w:r>
    </w:p>
    <w:p>
      <w:r>
        <w:rPr>
          <w:b/>
        </w:rPr>
        <w:t xml:space="preserve">Quelle: </w:t>
      </w:r>
      <w:r>
        <w:t>https://mcp.opencaselaw.ch/entscheid/vd_findinfo_116_2010_PMR</w:t>
      </w:r>
    </w:p>
    <w:p>
      <w:r>
        <w:t>FR: VD_FINDINFO 116/2010/PMR du 6 septembre 2010</w:t>
      </w:r>
    </w:p>
    <w:p>
      <w:r>
        <w:t>IT: VD_FINDINFO 116/2010/PMR del 6 settembre 2010</w:t>
      </w:r>
    </w:p>
    <w:p>
      <w:pPr>
        <w:pStyle w:val="Heading2"/>
      </w:pPr>
      <w:r>
        <w:t>Regeste</w:t>
      </w:r>
    </w:p>
    <w:p>
      <w:r>
        <w:t>MESURE PROVISIONNELLE, EXÉCUTION ANTICIPÉE, CONCURRENCE DÉLOYALE, PROHIBITION DE CONCURRENCE, CLIENTÈLE | 340b CO, 101 CPC, 109 al. 1 CPC, 92 al. 1 CPC, 14 LCD, 2 LCD</w:t>
      </w:r>
    </w:p>
    <w:p>
      <w:pPr>
        <w:pStyle w:val="Heading2"/>
      </w:pPr>
      <w:r>
        <w:t>Erwägungen</w:t>
      </w:r>
    </w:p>
    <w:p>
      <w:r>
        <w:rPr>
          <w:b/>
        </w:rPr>
        <w:t>E. 2</w:t>
      </w:r>
    </w:p>
    <w:p>
      <w:r>
        <w:t>LFors, les prétentions fondées sur la LCD étant connexes avec celles issues du droit du travail. Le juge instructeur de la Cour civile est par conséquent compétent pour connaître des conclusions provisionnelles sur la base de la LFors. Pour le surplus, la requérante invoque un dommage supérieur à 100'000 fr., ce qui suffit à ce stade. III. a) A défaut de règles fédérales, c'est le droit cantonal qui détermine à quelles conditions l'employeur peut obtenir une protection provisionnelle sur la base de l'art. 340b CO (ATF 131 III 473 c. 2.1; ATF 103 II 120 c. 2b, JT 1978 I 77). Dans le canton de Vaud, en vertu de l'art. 101 al. 1 ch. 1 let. c CPC (Code de procédure civile du 14 décembre 1966; RSV 270.11), des mesures provisionnelles peuvent être ordonnées en tout état de cause, même avant l'ouverture d'action, en cas d'urgence, pour écarter la menace d'un dommage difficile à réparer. Pour ce qui est des mesures provisionnelles fondées sur la LCD, l'art. 14 LCD renvoie aux art. 28c à 28f CC, qui sont applicables par analogie. Selon l'art.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à titre provisionnel (al. 2 ch. 1) ou prendre les mesures nécessaires pour assurer la conservation des preuves (al. 2 ch. 2). b)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Procédure civile vaudoise, 3 e éd., Lausanne 2002, n. 1 ad art. 101 CPC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Des exigences particulièrement élevées sont posées pour les mesures provisionnelles tendant à une exécution anticipée, lesquelles ont par exemple pour objet des obligations de s'abstenir ou de faire, dès lors qu'elles portent une atteinte particulièrement grave à la situation juridique de l'intimé en restreignant ou en supprimant, provisoirement ou définitivement, les droits privés de celui-ci. Il en va également ainsi lorsque la décision sur la mesure requise est susceptible d'avoir un effet définitif parce que le litige n'a plus d'intérêt au-delà du stade des mesures provisionnelles (ATF 131 III 473 c. 2.3). Dans ces différentes hypothèses, le juge ne peut se contenter de vraisemblance quant aux faits mais doit soumettre leur établissement à des conditions strictes, après une administration des preuves complètes. En outre, il doit procéder à un examen approfondi du fondement de la cause (Hohl, Procédure civile, tome II, Berne 2002, nn. 2868 s.). c) Ces exigences particulièrement élevées relatives à la vraisemblance des faits et l'apparence du droit trouvent application en matière de mesures provisionnelles tendant à faire interdire, en vertu de l'art. 340b al. 3 CO, à un ex-employé d'exercer une activité concurrente. Premièrement parce qu'une telle prohibition constitue une restriction importante à la liberté personnelle et une entrave certaine au développement professionnel du travailleur (JICCiv, 11 mai 2009, n° 71/2009/JCL; Favre/Munoz/Tobler, Le contrat de travail, 2 e éd., Lausanne 2010, n. 3.4 ad art. 340b CO). Cette mesure, des plus draconiennes, est en effet de nature, le cas échéant, à priver le travailleur de sa seule source de revenus (TF 4P.98/1999 du 29 juin 1999 c. 2b; Wyler, Droit du travail, 2 e éd., Berne 2008, p. 455). Deuxièmement, du fait que la mesure requise est susceptible d'avoir un effet définitif si le jugement au fond est rendu alors que la durée de la prohibition de faire concurrence est échue (ATF 131 III 473 c. 2.3). Ce sont les raisons pour lesquelles la protection juridique provisoire ne doit être accordée que lorsque la demande apparaît fondée de manière relativement claire, au vu de l'état de fait rendu vraisemblable (ATF 131 III 473 c. 3.2; JICCiv, 15 août 2002, n° 174/2002/JCL; Neeracher, Das arbeitsvertragliche Konkurrenzverbot, thèse Zurich 2001, pp. 123 s.; Brühwiler, Kommentar zum Einzelarbeitsvertrag, 2 e éd., Berne 1996, n. 5 ad art. 340b CO). L 'exécution réelle est ainsi une ultima ratio et le juge n'y donnera suite que de manière très restrictive, vu les incidences économiques que présente l'interdiction d'exercer une profession pour un travailleur (Wyler, op. cit., p. 455; Neeracher, op. cit., pp. 117 s.; Brunner/Buehler/Waeber/Bruchez, Commentaire du contrat de travail, Lausanne 2004, n. 4 ad art. 340b CO, pp. 316 s.; Rehbinder/Portmann, Basler Kommentar, 4 e éd., Bâle 2007, n. 5 ad art. 340b CO; Bohny, Das arbeitsvertragliche Konkurrenzverbot, Zurich 1989 , pp. 159 s.), soit seulement lorsqu'il semblerait inéquitable de renvoyer l'employeur à ouvrir action en dommages-intérêts (art. 340b al. 3 CO; FF 1967 II 411; ATF 103 II 120, JT 1978 I 77 c. 4; Kuhn, Das Konkurrenzverbot im Arbeitsvertragsrecht, Muri-Berne 1981, p. 87; Bohny, op. cit., p. 161). IV. a) Selon l'art. 340 al. 1 CO,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(art. 340b al. 3 CO). b) En l'espèce, la forme écrite (art. 13 CO) a été respectée et la clause comporte le droit de l'employeur d'obtenir l'exécution réelle de la prohibition de faire concurrence. V. a)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reste valable dans la mesure où elle n'excède pas la limite admissible en temps (SJ 1989 p. 683) et en lieu (JT 1982 I 170). Plus la clause est limitée dans son contenu – objet et étendue géographique et temporelle – mieux elle sera protégée (Wyler, op. cit., pp. 610 s. et les références citées; Favre/Munoz/Tobler, op. cit., n. 1.1. ad art. 340a CO). En tout état de cause, une prohibition de faire concurrence qui contraindrait le travailleur à changer de profession est sans valeur. Une telle obligation compromettrait en effet l'avenir économique du travailleur contrairement à l'équité, ce que la loi défend (ATF 101 II 277). En cas de doute, il convient de trancher en faveur du travailleur (Tercier/Favre/Eigenmann, Les contrats spéciaux, 4 e éd., Genève/Zurich/Bâle 2009,s n. 3852 et les références citées). b) En l'espèce, la clause de prohibition de faire concurrence porte, pour une durée conforme à la loi, sur les activités concurrentes à celles du groupe G.________/J.________. Elle interdit par conséquent à l'intimé d'oeuvrer après la fin des rapports de travail non seulement dans le domaine de l'assainissement mais également dans ceux de la construction, maçonnerie, peinture, construction métallique, rénovation, aménagement intérieur et décoration de locaux. La prohibition couvre donc la plupart des métiers du bâtiment et, en particulier, ceux dans lesquels l'intimé bénéficie d'une formation. Géographiquement, l'interdiction s'étend à la région définie dans la description d'emploi annexée au contrat de travail entré en vigueur le 1 er janvier 2006, à savoir les cantons de Berne, Genève, Fribourg, Jura, Neuchâtel, Vaud et Valais, soit tous les cantons qui non seulement sont au moins partiellement francophones, mais se trouvent à distance raisonnable du lieu de domicile de l'intimé. Pour se conformer à ces restrictions, l'intimé serait ainsi astreint à travailler dans un canton germanophone, cas échéant éloigné de son domicile, voire à se rendre à l'étranger pour pouvoir déployer une activité lucrative correspondant à l'une de ses formations. Vu les activités visées et compte tenu - de surcroît - de son champ d'application géographique, la clause de prohibition de faire concurrence a pour effet de contraindre l'intimé à changer de profession. Elle apparaît par conséquent excessive au regard de l'art. 340a CO. La question de savoir si cette clause pourrait ou devrait, en vertu de l'art. 340a al. 2 CO et compte tenu des conclusions des parties (art. 3 CPC), être réduite au stade des mesures provisionnelles - cas échéant dans quelle mesure - ou si son caractère excessif suffit à priver de fondement la requête de mesures provisionnelles peut demeurer ouverte en l'espèce, le sort de la requête de mesures provisionnelles n'en dépendant pas. c) Par identité de motifs, la question de l'existence d'une violation crasse de la clause de prohibition de faire concurrence (Wyler, op. cit., p. 613), dans la mesure de son éventuelle validité, n'a pas à être approfondie. VI. a)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(ATF 101 Ia 450; JAR 1994 p. 227; SJ 1989 p. 683).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 5, JT 1966 I 322; Tercier/Favre/Eigenmann, op. cit., n. 3842 et les arrêts cités; Wyler, op. cit., pp. 598 s. ).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faire concurrence est valide si la position et les activités du travailleur lui permettent d'entretenir des relations personnelles avec les clients, de découvrir leurs particularités, leurs besoins, la possibilité de leur faire crédit et la marche de leurs affaires (ATF 91 II 372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(Tercier/Favre/Eigenmann, op. cit., nn. 3844 s.).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Lausanne 1998, n. 26 ad art. 340 CO). L'art. 340 al. 2 CO n'exige pas la preuve d'un dommage effectif (Wyler, op. cit., p. 600); il suffit qu'il soit possible selon le cours ordinaire des choses et l'expérience générale de la vie. Le juge se contentera donc d'examiner et d'apprécier - au degré de vraisemblance élevé applicable en matière de mesures provisionnelles - la probabilité de survenance d'un pareil dommage. Le moment déterminant pour en juger est celui où l'interdiction doit produire ses effets et non celui de la conclusion du contrat de travail (Tercier/Favre/Eigenmann, op. cit., n. 3847). La possibilité d'un préjudice sensible doit être admise lorsque le travailleur, grâce aux connaissances acquises, débauche la clientèle de son ancien employeur ou lui cause des difficultés sérieuses par l'exploitation de particularités techniques ou commerciales que celui-ci ne veut pas dévoiler (ATF 91 II 372). b) En l'espèce, l'intimé, en sa qualité de chef d'intervention, entretenait des contacts professionnels avec les personnes qui, au nom et pour le compte des compagnies d'assurance, font appel aux services de la requérante en cas de sinistres. Contrairement à ce que soutient l'intimé, les compagnies d'assurance font partie de la clientèle de la requérante, au sens de l'art. 340 al. 2 CO. Il n'est en effet pas contesté que les assureurs contribuent à son chiffre d'affaires, en lui signalant des occasions d'intervenir et en les facilitant : il est plausible que, comme l'explique la requérante, dans la plupart des cas sinon tous, l'assuré sinistré chargera l'entreprise spécialisée dépêchée en urgence par son assureur d'exécuter les travaux nécessaires. Peu importe, de ce point de vue, que le contrat soit passé entre la requérante et le sinistré. Sur le plan économique, il est indéniable que les assureurs sont des interlocuteurs bien plus importants pour la requérante (offre continuelle de chantier) que les sinistrés (consommation unique, voire occasionnelle, de prestations). S'agissant des secrets d'affaires, on doit retenir, sur la base notamment de la déposition du témoin N.________, corroborée par le cahier des charges de l'intimé, que celui-ci avait connaissance des méthodes et politiques commerciales de la requérante, ainsi que de ses techniques d'organisation et de marketing. c) L'utilisation par l'intimé de sa connaissance de la clientèle et des secrets d'affaires de la requérante est de nature, sur le principe, à causer un préjudice à la requérante. En effet, une personne ayant les connaissances et l'expérience de l'intimé est à même, pour autant qu'il dispose de l'infrastructure nécessaire (matériel, produits chimiques, etc.), d'obtenir d'assureurs qu'ils lui signalent des chantiers objet de sinistres en vue d'intervention, au lieu d'en avertir la requérante. En revanche, la requérante ne rend pas du tout vraisemblable le caractère sensible de ce préjudice potentiel. Elle s'est en effet refusée, en cours d'instruction, à dévoiler son chiffre d'affaires. Cela rend en toute logique impossible de vérifier si le préjudice dont la clause de prohibition de faire concurrence entend empêcher la survenance serait important au regard du chiffre d'affaires de la requérante. Dans ces circonstances, la validité matérielle de la clause de prohibition de faire concurrence, au regard de l'art. 340 al. 2 CO, n'est pas rendue vraisemblable, ce qui entraîne le rejet des conclusions provisionnelles, en tant qu'elles sont fondées sur l'art. 340b CO. VII. a) L'art. 340b al. 3 CO exige que l'employeur qui entend obtenir la cessation effective de la contravention à la prohibition de faire concurrence démontre - au degré élevé de vraisemblance requis - que l'importance de ses intérêts lésés ou menacés justifie cette mesure. Vu le risque de lésion grave aux intérêts personnels et économiques, voire même vitaux, du travailleur, l'action en cessation de ce comportement constitue en effet un moyen de droit exceptionnel (JICCiv, 23 juin 2000, n° 270/2000/PMU; SJ 1982 p. 330, spéc. note de Schmidt, p. 334). Ainsi, selon une partie de la doctrine, le risque d'un dommage doit être tel qu'il puisse mettre en péril la prospérité ou l'existence de l'entreprise. Le Tribunal fédéral, dans un arrêt paru aux ATF 103 II 120, a réfuté cette manière de voir. Sa jurisprudence actuelle aboutit à la conclusion que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c. 3.2 et les références citées ). En définitive, il résulte de la jurisprudence fédérale, que l'exécution réelle est une ultima ratio , qui ne sera ordonnée que lorsqu'il serait manifestement injuste de contraindre l'employeur à se satisfaire de la possibilité de demander des dommages-intérêts, le doute, dans la pesée des intérêts en présence, devant profiter au travailleur ( Wyler, op. cit., p. 613; Tercier/Favre/Eigenmann, op. cit., n. 3856). b) En l'espèce, l'intimé exerce, au service de H.________ Sàrl, une activité concurrente à celle de la requérante. Il contrevient par conséquent à la prohibition de faire concurrence stipulée, dans la mesure du moins où l'on admet la validité partielle de la clause excessive qui l'institue (cf. supra V/b). Comme déjà exposé (cf. supra VI/c), la requérante s'est refusée à dévoiler son chiffre d'affaires. Elle n'a pas non plus apporté d'éléments concrets permettant de chiffrer ou même d'estimer la baisse du chiffre d'affaires qu'elle aurait subi depuis le départ de l'intimé, ni fourni ne serait-ce que des indices de l'évolution de cette baisse dans les mois à venir. Autrement dit, la requérante ne rend pas du tout vraisemblable que ses intérêts seraient lésés ou menacés par l'activité du demandeur, contrairement à ce qu'exige l'art. 340b al. 3 CO. Dans ces conditions, la pesée des intérêts en présence conduit, à l'évidence, à constater que les conditions d'octroi de cette ultima ratio qu'est l'exécution réelle ne sont - de loin - pas réunies en l'espèce. Il s'ensuit que les conclusions provisionnelles doivent être rejetées, en tant qu'elles sont fondées sur l'art. 340b CO. VIII. a) La requérante fonde également ses conclusions provisionnelles sur la LCD. Selon l'art. 9 al. 1 LCD que, celui qui, par un acte de concurrence déloyale, subit une atteinte dans sa clientèle, son crédit ou sa réputation professionnelle, ses affaires ou ses intérêts économiques en général ou celui qui en est menacé, peut demander au juge de l'interdire, si elle est imminente, de la faire cesser, si elle dure encore, ou d'en constater le caractère illicite, si le trouble qu'elle a créé subsiste. En l'espèce, il n'est pas nécessaire de procéder à un examen détaillé de l'existence d'une violation des prescriptions de cette loi par l'intimé. Il suffit de constater : primo qu'aucun élément probant n'indique que l'intimé aurait incité un client de la requérante, en particulier un assureur, à rompre un contrat conclu avec elle, ce qui exclut l'application de l'art. 4 let. a LCD (ATF 133 III 431 c. 4.5, JT 2008 I 34); secundo, qu'il résulte de l'instruction que l'intimé a eu connaissance de tout ce qui pourrait en l'espèce revêtir la qualification de secret d'affaires au sens de l'art. 6 LCD dans le cadre de ses rapports de travail et non pas d'une manière indue, ce qui exclut l'application de cette disposition (ATF 133 III 431 c. 4.5, JT 2008 I 34); tertio, que le comportement de l'intimé n'apparaît pas déloyal au sens de l'art. 2 LCD, dès lors que la requérante échoue à rendre même simplement vraisemblable que l'intimé aurait violé les règles de la bonne foi en concurrence en rapport avec son intervention, pour H.________ Sàrl, sur quelques chantiers. Le fait que l'intimé ait, apparemment à une occasion, employé du matériel appartenant à la requérante ne suffit pas à retenir le contraire, cette utilisation n'apparaissent pas susceptible d'influencer la concurrence ou le fonctionnement du marché de manière pertinente au regard de la clause générale (ATF 133 III 431 c. 4.1, JT 2008 I 34). b) Quoiqu'il en soit, l'art. 28c CC n'ouvre la voie des mesures provisionnelles qu'à celui qui rend vraisemblable, non seulement qu'il est objet d'une atteinte illicite, imminente ou actuelle, mais également que cette atteinte risque de lui causer un préjudice difficilement réparable (cf. supra III/a). Or, comme déjà exposé, la requérante ne rend pas vraisemblable l'existence d'un dommage difficilement réparable. Pour la même raison, il n'est pas possible de procéder à l'examen du respect du principe de la proportionnalité, généralement applicable en matière de mesures provisionnelles, et auquel le juge a l'obligation de procéder : il lui incombe de mettre en balance les intérêts contradictoires des parties et d'apprécier les désavantages respectifs pour le requérant et pour l'intimé, selon que la mesure requise est ordonnée ou refusée ( ATF 131 III 473 c. 2.3; Schlosser, op. cit., pp. 350ss). La requérante en supporte les conséquences (art. 8 CC) et l'intérêt de l'intimé à exercer une activité professionnelle dans l'un de ses domaines de formation ne peut que l'emporter sur ceux, éventuels, de son adverse partie. C'est ainsi en vain que la requérante invoque concurremment la LCD et les conclusions I à III de sa requête doivent également être rejetées en tant qu'elles sont fondées sur cette loi. Quant à la conclusion IV, il ne ressort pas de l'instruction que l'intimé serait encore en possession de matériel, de documents ou supports de données, partant de données confidentielles. Il n'y dès lors pas non plus lieu d'y faire droit. La requête de mesures provisionnelles du 29 juillet 2010 doit en conclusion être intégralement rejetée. IX.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doivent être arrêtés à 2'692 fr. 50 pour la requérante et à 212 fr. 50 pour l'intimé. Conformément à l'art. 109 al. 1 CPC-VD, le juge règle les dépens dans l'ordonnance. En l'espèce, l'intimé obtient entièrement gain de cause et a droit à des dépens de la procédure provisionnelle, qu'il se justifie de fixer à 4'212 fr. 50, à la charge de la requérante (cf. art. 92 al. 1 CPC-VD). Par ces motifs, le juge instructeur, statuant à huis clos et par voie de mesures provisionnelles : I. Rejette la requête de mesures provisionnelles déposée le 29 juillet 2010 par la requérante J.________ SA contre l'intimé X.________. II. Arrête les frais de la procédure provisionnelle à 2'692 fr. 50 (deux mille six cent nonante-deux francs et cinquante centimes) pour la requérante et à 212 fr. 50 (deux cent douze francs et cinquante centimes) pour l'intimé. III. Condamne la requérante à verser à l'intimé le montant de 4'212 fr. 50 (quatre mille deux cent douze francs et cinquante centimes) à titre de dépens de la procédure provisionnelle. Le juge instructeur :              Le greffier : P. Muller              J. Greuter Du L'ordonnance qui précède, dont le dispositif a été expédié pour notification aux parties le 6 septembre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