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112/2010/FAB vom 4. August 2010</w:t>
      </w:r>
    </w:p>
    <w:p>
      <w:r>
        <w:t>VD Tribunal cantonal, 2010-08-04, FR</w:t>
      </w:r>
    </w:p>
    <w:p>
      <w:r>
        <w:rPr>
          <w:b/>
        </w:rPr>
        <w:t xml:space="preserve">Quelle: </w:t>
      </w:r>
      <w:r>
        <w:t>https://mcp.opencaselaw.ch/entscheid/vd_findinfo_112_2010_FAB</w:t>
      </w:r>
    </w:p>
    <w:p>
      <w:r>
        <w:t>FR: VD_FINDINFO 112/2010/FAB du 4 août 2010</w:t>
      </w:r>
    </w:p>
    <w:p>
      <w:r>
        <w:t>IT: VD_FINDINFO 112/2010/FAB del 4 agosto 2010</w:t>
      </w:r>
    </w:p>
    <w:p>
      <w:pPr>
        <w:pStyle w:val="Heading2"/>
      </w:pPr>
      <w:r>
        <w:t>Regeste</w:t>
      </w:r>
    </w:p>
    <w:p>
      <w:r>
        <w:t>HYPOTHÈQUE LÉGALE DES ARTISANS ET ENTREPRENEURS, INSCRIPTION, REGISTRE FONCIER | 837 al. 1 ch. 3 CC, 839 CC, 961 al. 3 CC</w:t>
      </w:r>
    </w:p>
    <w:p>
      <w:pPr>
        <w:pStyle w:val="Heading2"/>
      </w:pPr>
      <w:r>
        <w:t>Erwägungen</w:t>
      </w:r>
    </w:p>
    <w:p>
      <w:r>
        <w:rPr>
          <w:b/>
        </w:rPr>
        <w:t>E. 4</w:t>
      </w:r>
    </w:p>
    <w:p>
      <w:r>
        <w:t>ORF), suffit à sauvegarder le délai de trois mois, qui a un caractère péremptoire et ne peut être prolongé (ATF 89 II 304 c. 3, JT 1964 I 171). C'est à l'entrepreneur qu'il incombe de rendre vraisemblable que sa requête en inscription d'une hypothèque légale est bien présentée avant l'expiration du délai de déchéance de trois mois, et non pas au propriétaire de l'immeuble de prouver la tardiveté de la requête (SJ 1981 pp. 97 ss, spéc. p. 103, n. 5; Steinauer, op. cit., n. 2883b). La détermination du moment vraisemblable où les travaux ont été achevés – question de fait – relève du large pouvoir d'appréciation du juge (art. 961 al. 3 CC; SJ 1981 pp. 97 ss, spéc. p. 103, n. 4; SJ 1958 p. 523). Le "dies a quo" du délai de l'art.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244).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c. 2b, JT 1981 I 17; ATF 102 II 206 c. 1a, SJ 1977 p. 244; ATF 101 II 253, rés. in JT 1977 I 158; Steinauer, op. cit., n. 2884a). Des travaux de peu d'importance sont cependant considérés comme des travaux d'achèvement lorsqu'ils sont indispensables; les travaux sont ainsi jugés selon un point de vue qualitatif plutôt que quantitatif (ATF 125 III 113 c. 2b, JT 2000 I 22; ATF 106 II 22 c. 2b et 2c, JT 1981 I 17; ATF 102 II 206 c. 1b/aa, SJ 1977 p. 244). Ainsi, des travaux nécessaires, notamment pour des raisons de sécurité, même de peu d'importance en temps et en argent, constituent des travaux d'achèvement (ATF 102 II 206 c. 1b/aa, SJ 1977 p. 244; Steinauer, op. cit., n. 2884a). Le cas où l'exécution d'un tel travail de peu d'importance a été volontairement retardée par l'entrepreneur a été réservé (ATF 106 II 22 c. 2b, JT 1981 I 17). Dans l'arrêt paru aux ATF 101 II 253 (rés. in JT 1977 I 158), il a été jugé, en relation avec l'agencement d'une cuisine, que le réglage d'un carrousel et des fermetures de tiroirs et d'armoires, ainsi que la rectification des angles de surfaces en formica et la pose d'un tiroir extensible constituaient des travaux de mise au point, l'ouvrage étant déjà achevé auparavant. A l'inverse, le Tribunal fédéral a jugé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SJ 1997 p. 244), du démontage et du remontage par un installateur sanitaire des radiateurs nécessités par le vernissage de ces derniers (ATF 106 II 22, JT 1981 I 17) ou encore de la livraison de béton frais et de matériel de remplissage servant à l'achèvement du raccordement d'une canalisation et au comblement du fossé de la canalisation (ATF 125 III 113, JT 2000 I 22). Il est également opportun de déterminer si l'ouvrage était utilisable avant les prétendus travaux d'achèvement. Dans un tel cas, il y a de sérieux indices que le point de départ du délai péremptoire soit antérieur (Schumacher, op. cit., n. 633). Enfin, si le délai de trois mois commence de courir dès l'achèvement des travaux et non pas dès l'établissement de la facture (ATF 102 II 206 c. 1b/aa, SJ 1977 p. 244), le fait que l'entrepreneur présente une facture pour son travail donne cependant à penser, en règle générale, qu'il estime l'ouvrage achevé (SJ 1981 pp. 97 ss, spéc. p. 103, n. 4; ATF 101 II 253, rés. in JT 1977 I 158, rés. in SJ 1976 p. 507). Selon la doctrine et la jurisprudence, l'entrepreneur ne peut cependant pas se prévaloir de ce que les travaux ne sont pas terminés et le délai de trois mois n'a pas encore commencé à courir, lorsque cela est dû à son propre retard fautif (Schumacher, Das Bauhandwerkerpfandrecht, 3 e éd., nn. 1130-1132 et les références de jurisprudence). b) En l'espèce, la requérante soutient que les travaux n'ont pas encore été achevés, dès lors que la dernière étape, soit la mise en service définitive de l'installation n'a pas encore eu lieu, la requérante attendant le paiement du dernier acompte de 120'000 fr. par les intimés pour s'exécuter. Selon elle, seuls des tests de mise en service provisoire ont été effectués, mais il n'y a pas eu réception complète de l'installation, la mise en service définitive étant indispensable à la finalisation de l'ouvrage prévu dans le contrat d'entreprise signé le 19 mai 2009. S'agissant des travaux pour lesquels elle a établi une facture en date du 10 février 2010, soit le remplacement du pavage de la cour, le déplacement des machines de forage, le retour des ventilo-convecteurs, le remplacement de câbles, deux mises en service provisoires et le remplacement d'une lampe dans la piscine, elle considère que ce sont des travaux de plus-value supplémentaires qu'elle a exécutés sur demande des intimés alors qu'ils ne faisaient pas partie des prestations prévues contractuellement. Elle estime dès lors que les intimés lui doivent un montant de 169'400 fr., soit le dernier acompte de 120'000 fr. et le montant des travaux supplémentaires pour 49'400 francs. Les intimés, quant à eux, prétendent que les travaux sont achevés depuis le 1 er décembre 2009, date à laquelle la requérante a indiqué que la pompe à chaleur avait été mise en service, que les radiateurs et l'eau chaude fonctionnaient et qu'il ne restait que quelques petits travaux de finition. Ils soutiennent que le contrat ne fait pas la distinction entre une éventuelle mise en service provisoire et une mise en service définitive. Ils considèrent que les prestations restant à effectuer font partie de la réparation des défauts de l'installation qui ne constituent pas des travaux d'achèvement. Dans l'hypothèse où ce ne serait pas le cas, ils estiment que la moins-value de 1'000 fr. qui apparaît sur la facture du 10 février 2010 s'agissant de la mise en service définitive correspond à une renonciation de la requérante de terminer les travaux à cette date. Les intimés considèrent donc, qu'au plus tard, le délai de trois mois a commencé à courir le 10 février 2010 et le droit de la requérante d'obtenir alors l'inscription d'une hypothèque légale des artisans et entrepreneurs serait périmé. En outre, concernant les travaux supplémentaires effectués par la requérante, les intimés estiment qu'il s'agit de dégâts que celle-ci a causés sur leur immeuble en effectuant les travaux prévus contractuellement et qu'ils sont dès lors à sa charge. Il convient d'examiner les deux éléments que sont les travaux supplémentaires effectués et la mise en service de l'installation, afin de déterminer quel est le point de départ du délai de trois mois pour chacune de ces prestations en vue de l'inscription de l'hypothèque légale des artisans et entrepreneurs. aa) S'agissant des travaux supplémentaires énumérés ci-dessus, ils étaient terminés lorsqu'ils ont été facturés par la requérante le 10 février 2010. Les parties ne contestent pas ce fait. Le délai de trois mois étant ainsi échu lors de l'inscription de l'hypothèque légale, le montant arrêté à 49'400 fr. à ce titre n'est pas pris en compte dans le cadre de l'inscription d'une hypothèque légale en faveur de la requérante. Il n'est en outre pas déterminant, au stade des mesures provisionnelles, de savoir si ces prestations sont des travaux de plus-value qui seraient à la charge des intimés ou des travaux de réparation des dégâts causés par la requérante qui seraient alors à sa charge. Cette question peut rester ouverte. bb) Les travaux de mise en service de l'installation de chauffage sont des travaux d'achèvement. Ils ne peuvent pas être qualifiés de peu d'importance. En outre, ces travaux sont indispensables, dans la mesure où les intimés ne sont pas en mesure d'utiliser l'ouvrage avant qu'il soit procédé à sa mise en service. La requérante a rendu vraisemblable, au stade des mesures provisionnelles, que la mise en service définitive n'est pas encore intervenue et qu'il s'agit d'exécuter encore des prestations non négligeables pour faire fonctionner l'installation définitivement. Cela ressort du courriel envoyé le 12 janvier 2010 par lequel la requérante a expliqué qu'il fallait absolument que la piscine soit remplie pour mettre en service les groupes piscine et ventilation, et qu'il restait à raccorder définitivement la pompe à chaleur ainsi que la ventilation. La facture établie le 10 février 2010 atteste également des travaux qui n'ont pas été terminés, soit la pose de trois radiateurs et la mise en service définitive. Le fait qu'un montant de 4'000 fr. au total soit déduit de la facture pour ces prestations non effectuées, ne signifie pas avec une vraisemblance confinant à la certitude que la requérante ait renoncé à l'exécution de ces travaux, soit à la mise en service définitive de l'installation, mais tout au plus qu'elle a renoncé à les facturer à ce stade. En outre, au stade provisionnel, il n'a pas été rendu vraisemblable que le retard dans l'exécution du contrat d'entreprise est entièrement imputable à la requérante, dès lors qu'une des conditions du contrat prévue pour la mise en service définitive consiste en le versement, par les intimés, du dernier acompte de 120'000 francs. Ainsi, tant que tous les travaux objet du contrat d'entreprise, y compris la mise en service, ne sont pas exécutés, le délai de trois mois ne peut commencer à courir. Pour ces motifs, la requérante a rendu vraisemblable qu'elle n'a pas terminé les travaux objet du contrat d'entreprise, que celui-ci ne peut pas être considéré comme exécuté et que des travaux d'achèvement doivent encore avoir lieu.  Le délai de trois mois n'était donc pas échu lors de l'inscription de l'hypothèque légale des artisans et entrepreneurs au Registre foncier de [...] le 13 juillet 2010. V. a) L'hypothèque légale des artisans et entrepreneurs ne peut être inscrite que si l'existence et le montant de la créance sont rendus vraisemblables par la reconnaissance du propriétaire ou par le juge (art. 839 al. 3 et 961 al. 3 CC). b) En l'espèce, le litige au fond porte sur le dernier acompte de 120'000 fr. dû par les intimés à la requérante pour les travaux prévus contractuellement, ainsi que sur le montant facturé par la requérante pour les travaux supplémentaires, soit un montant de 49'400 francs. Les intimés estiment que ce second montant n'est pas dû dès lors qu'il s'agit de travaux dus aux dégâts causés par la requérante sur leur immeuble et qu'ils doivent être mis à sa charge. Le délai de trois mois étant de toute façon échu lors de l'inscription de l'hypothèque légale le 13 juillet 2010 s'agissant du montant de 49'400 fr. établi par facture du 10 février 2010, ce montant n'entre pas en considération. En revanche, les pièces produites au dossier rendent suffisamment vraisemblable l'existence d'une créance d'un montant total de 120'000 fr. en faveur de la requérante. On retiendra donc, au stade des mesures provisionnelles, que le montant total restant en faveur de la requérante s'élève à 120'000 francs. VI. a) En définitive, il convient d'ordonner l'inscription requise et de confirmer partiellement l'ordonnance de mesures préprovisionnelles du 12 juillet 2010. b) L'inscription provisoire restera valable jusqu'à l'échéance d'un délai de trois mois après droit connu sur le fond du litige. Un délai au 30 octobre 2010 sera imparti à la requérante pour faire valoir son droit en justice (art. 961 al. 3 CC et 117 al. 1 CPC; ATF 119 II 434 c. 2a). c) Les mesures requises étant accordées dans une proportion moindre que celle réclamée par la requérante, celle-ci obtient partiellement gain de cause et a droit à des dépens réduits d'un quart, à la charge des intimés (art. 92 al. 1 et 109 al. 1 CPC). Il convient de les arrêter à 2'242 fr. 50, savoir 1'260 fr., à titre de participation aux honoraires et débours de son conseil et 982 fr. 50 en remboursement de ses frais de justice. Par ces motifs, le juge instructeur, statuant à huis clos et par voie de mesures provisionnelles : I. Ordonne l'inscription provisoire au Registre foncier, Office de [...], [...], d'une hypothèque légale des artisans et entrepreneurs d'un montant de 120'000 fr. (cent vingt mille francs), avec intérêt à 5 % l'an dès le 10 février 2010, plus accessoires légaux, en faveur de K.________ SA, à [...], sur la parcelle [...] de la Commune de [...], dont Q.________ est copropriétaire pour ½, C.________ pour ¼ et M.________ pour ¼ et dont la désignation cadastrale est la suivante : Feuillet Parcelle Plan Fol. COMMUNE DE [...] Surface m 2 Estimation fiscale [...] [...] [...] 2345 3'113'000.-- II. Confirme en conséquence partiellement le chiffre I du dispositif de l'ordonnance de mesures préprovisionnelles du 12 juillet 2010. III. Dit que l'inscription provisoire de l'hypothèque légale restera valable jusqu'à l'échéance d'un délai de trois mois après droit connu sur le fond du litige. IV. Impartit à la requérante un délai au 30 octobre 2010 pour faire valoir son droit en justice. V. Dit que les frais de la procédure provisionnelle sont arrêtés à 1'310 fr. (mille trois cent dix francs) pour la requérante. VI. Dit que les intimés, solidairement entre eux, verseront à la requérante le montant de 2'242 fr. 50 (deux mille deux cent quarante-deux francs et cinquante centimes) à titre de dépens réduits de la procédure provisionnelle. VII. Déclare la présente ordonnance immédiatement exécutoire, nonobstant recours ou appel. VIII. Rejette toutes autres ou plus amples conclusions. Le juge instructeur :              La greffière : F. Byrde              M. Bron Du L'ordonnance qui précède, dont le dispositif a été expédié pour notification aux parties le 9 août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