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10/2020 vom 15. August 2019</w:t>
      </w:r>
    </w:p>
    <w:p>
      <w:r>
        <w:t>VD Tribunal cantonal, 2019-08-15, FR</w:t>
      </w:r>
    </w:p>
    <w:p>
      <w:r>
        <w:rPr>
          <w:b/>
        </w:rPr>
        <w:t xml:space="preserve">Quelle: </w:t>
      </w:r>
      <w:r>
        <w:t>https://mcp.opencaselaw.ch/entscheid/vd_findinfo_10_2020</w:t>
      </w:r>
    </w:p>
    <w:p>
      <w:r>
        <w:t>FR: VD_FINDINFO 10/2020 du 15 août 2019</w:t>
      </w:r>
    </w:p>
    <w:p>
      <w:r>
        <w:t>IT: VD_FINDINFO 10/2020 del 15 agosto 2019</w:t>
      </w:r>
    </w:p>
    <w:p>
      <w:pPr>
        <w:pStyle w:val="Heading2"/>
      </w:pPr>
      <w:r>
        <w:t>Regeste</w:t>
      </w:r>
    </w:p>
    <w:p>
      <w:r>
        <w:t>DILIGENCE, AVOCAT, ORGANISATION{EN GÉNÉRAL} | 12 let. a LLCA</w:t>
      </w:r>
    </w:p>
    <w:p>
      <w:pPr>
        <w:pStyle w:val="Heading2"/>
      </w:pPr>
      <w:r>
        <w:t>Erwägungen</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présente enquête disciplinaire est dirigée contre un avocat inscrit au registre cantonal et pratiquant la représentation en justice dans le canton de Vaud. La Chambre des avocats est dès lors compétente.</w:t>
      </w:r>
    </w:p>
    <w:p>
      <w:r>
        <w:rPr>
          <w:b/>
        </w:rPr>
        <w:t>E. 2.1</w:t>
      </w:r>
    </w:p>
    <w:p>
      <w:r>
        <w:t>La question qui se pose est de savoir si les manquements relevés dans l’organisation personnelle du travail de Me X.________ – soit le fait de ne pas avoir retiré plusieurs courriers qui lui ont été adressés par la Chambre de céans et le Tribunal d’arrondissement de l’Est vaudois – sont constitutifs d’une violation du devoir de diligence de l’avocat au sens de l’art. 12 let. a LLCA.</w:t>
      </w:r>
    </w:p>
    <w:p>
      <w:r>
        <w:rPr>
          <w:b/>
        </w:rPr>
        <w:t>E. 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L’avocat doit organiser son travail de telle manière qu’il puisse exercer sa profession avec soin et diligence, notamment en assurant l’observation des délais et des échéances (TF 6B_389/2011 du 10 octobre 2011 consid. 1.8 ; Chappuis, La profession d'avocat, Tome I, Genève 2013, p. 54 ; Valticos, in Valticos et al. [éd.], Commentaire Romand de la LLCA, Bâle 2009, n. 26 ad art. 12 LLCA). Il devrait disposer à tout le moins d’un local pour recevoir ses clients – qui peut être à son domicile – et d’une ligne téléphonique et de fax inscrite dans l’annuaire, afin d’être accessible pour ses clients, pour les autorités et aussi ses confrères, et de pouvoir assurer le respect du secret professionnel. En cas d’absence, l’avocat doit faire en sorte d’assurer le suivi de ses affaires ou informer les autorités de la période pendant laquelle il prévoit de ne pas être atteignable (Fellmann, in : Fellmann/Zindel [éd.] : Kommentar zum Anwaltsgesetz, 2 e éd., 2011, n. 17 ad art. 12 LLCA ; Bohnet/Martenet, op. cit., n. 1169).</w:t>
      </w:r>
    </w:p>
    <w:p>
      <w:r>
        <w:rPr>
          <w:b/>
        </w:rPr>
        <w:t>E. 2.3</w:t>
      </w:r>
    </w:p>
    <w:p>
      <w:r>
        <w:t>En l’espèce, Me X.________ n’a pas retiré plusieurs plis recommandés qui lui ont été adressés par les autorités, la première fois entre les mois d’octobre et de décembre 2019, la seconde fois en avril 2020. De tels manquements ne sauraient en principe être tolérés, compte tenu des incidences graves qu’ils peuvent avoir sur les droits des clients de l’avocat ainsi que sur le bon déroulement des procédures dans lesquelles celui-ci intervient. Il est en effet indispensable que l’avocat soit en mesure d’organiser son travail de manière à pouvoir recevoir en tout temps les correspondances qui lui sont transmises, que ce soit sous plis recommandés ou par d’autres biais. Me X.________ semble en être bien conscient, puisqu’il n’a pas contesté les faits qui lui sont reprochés, qu’il a reconnu que ceux-ci n’étaient pas admissibles et qu’il a présenté à plusieurs reprises ses excuses à ce propos. Il est vrai que la cécité complète dont souffre Me X.________ complique passablement l’organisation que celui-ci doit mettre en place pour éviter la survenance des manquements en cause. Vu son handicap, il lui appartient néanmoins de tout mettre en œuvre pour y parvenir s’il entend poursuivre son activité d’avocat. Cela étant, Me X.________ a fourni des explications crédibles sur les circonstances très particulières qui ont conduit aux faits reprochés, circonstances dont on ne saurait faire abstraction. Il apparaît ainsi que les courriers recommandés revenus en retour à la fin de l’année 2019 ont été adressés à la case postale de l’étude que Me X.________ était en train de reprendre, alors que cette case postale était encore inscrite au nom de son ancien titulaire, Me K.________, malgré les demandes de Me X.________ pour en obtenir le transfert à son nom. Il semble en outre que Me X.________ n’avait alors pas encore reçu le « login » de la Poste qui devait lui permettre de voir et de gérer les recommandés en attente, malgré plusieurs demandes de sa part, et qu’il a connu, dans le même temps, des problèmes techniques liés à des mises à jour informatiques. Or depuis lors, Me X.________ a pu remédier à ces différents problèmes, en obtenant notamment le transfert de la case postale à son nom et en organisant son étude, par l’engagement d’une secrétaire et d’une juriste, afin de pouvoir effectuer un retrait quotidien des envois qui lui sont adressés. Quant aux évènements survenus au mois d’avril 2020, lors desquels Me X.________ n’a une nouvelle fois pas retiré certains plis recommandés à son attention, ils ont eu lieu en pleine période de confinement lié à la crise sanitaire, alors que le prénommé – qui est apparemment une personne à risque – travaillait depuis chez lui et ne pouvait semble-t-il plus compter sur l’assistance de son employée juriste. Lors de l’audience, il est apparu que Me X.________ avait bien effectué la demande pour que le courrier adressé à son étude soit dévié par la Poste à son domicile durant le confinement ; Me X.________ a d’ailleurs apparemment reçu de nombreux plis recommandés à son adresse privée par ce biais. Il semble toutefois qu’une telle déviation n’ait pas été mise en place et ait également été nécessaire pour le courrier adressé via la case postale de l’étude, ce que Me X.________ ignorait, raison pour laquelle certains des courriers recommandés qui lui ont été envoyés au mois d’avril 2020 ne lui sont pas parvenus. Les circonstances décrites ci-dessus n’excusent certes pas entièrement les manquements reprochés à Me X.________, l’avocat devant s’organiser pour recevoir en tout temps les courriers des autorités qui lui sont destinés. Néanmoins, il apparaît que les raisons pour lesquelles Me X.________ n’a pas donné suite à certaines des correspondances qui lui ont été envoyées par la Chambre de céans et le Tribunal d’arrondissement de l’Est vaudois résultent plus d’un concours de circonstances très particulières et fortuites, respectivement de malchance, que de véritables carences dans l’organisation de son travail. Il convient en outre de tenir compte du fait que Me X.________ semble avoir pris les mesures qui s’imposaient afin que les évènements susmentionnés ne se reproduisent pas. On relèvera d’ailleurs qu’il n’a jamais pris à la légère la dénonciation dont il fait l’objet, ayant au contraire répondu scrupuleusement à toutes les questions qui lui ont été posées tant par le membre enquêteur que par la Chambre de céans et attachant visiblement une grande importance à pouvoir démontrer qu’il est en mesure d’exercer la profession d’avocat malgré son handicap, en en respectant toutes les règles professionnelles. On retiendra également, à la décharge de Me X.________, que les évènements ayant donné lieu à sa dénonciation sont les premiers qu’il rencontre et qu’il a apparemment pu traiter convenablement plusieurs autres dossiers durant la période litigieuse. De surcroît, l’inspection locale réalisée par le membre enquêteur a permis de constater que Me X.________ bénéficiait d’une structure lui permettant d’exercer le métier d’avocat de manière adéquate. Outre le fait qu’il dispose de bureaux conformes aux exigences de la profession, il a notamment engagé une secrétaire et une juriste – toutes deux à temps partiel – qui peuvent l’assister dans ses opérations quotidiennes, notamment pour aller chercher son courrier à la poste, le lui lire et le lui rendre accessible en le scannant afin qu’il puisse ensuite le lire lui-même grâce au logiciel spécial dont il dispose à cet effet. Le fait que Me X.________ ait indiqué à l’audience qu’il était à la recherche d’un nouvel associé qui soit plus présent à ses côtés – son associé actuel étant sur le point de cesser sa pratique – doit également être salué, tant il apparaît important, au vu de son handicap, qu’il puisse bénéficier d’une aide dans l’exercice de ses activités en cas de besoin. En définitive, compte tenu des circonstances très particulières dans lesquelles les manquements litigieux sont survenus et des mesures prises par Me X.________ dans l’intervalle pour y remédier, la Chambre de céans considère qu’il n’y a exceptionnellement pas lieu de constater de violation par l’avocat prénommé de son devoir de diligence. L’attention de Me X.________ doit néanmoins être attirée sur le fait que de tels manquements ne doivent en aucun se reproduire à l’avenir, sous peine de quoi il s’exposera à des conséquences d’ordre disciplinaire. Vu son infirmité, il appartiendra ainsi à l’intéressé de toujours porter une attention toute particulière à son organisation personnelle, ainsi qu’à celle de ses éventuels employés, s’il entend éviter de faire l’objet d’une nouvelle dénonciation et de probables sanctions en lien avec des faits similaires. Me X.________ doit en outre être encouragé dans son projet de trouver un nouvel associé, qui lui permettra de bénéficier d’une aide supplémentaire bienvenue dans l’organisation de son travail.</w:t>
      </w:r>
    </w:p>
    <w:p>
      <w:r>
        <w:rPr>
          <w:b/>
        </w:rPr>
        <w:t>E. 3</w:t>
      </w:r>
    </w:p>
    <w:p>
      <w:r>
        <w:t>Il découle des considérations qui précèdent qu’il doit être constaté que Me X.________ n’a pas violé l’art. 12 let. a LLCA. Les frais de la cause, comprenant un émolument de 546 fr. ainsi que les frais d’enquête par 954 fr., seront arrêtés à 1’500 francs. Ces frais seront supportés par Me X.________, dont le comportement a donné lieu à l’ouverture de la présente procédure disciplinaire, notamment s’agissant des manquements dénoncés au mois de décembre 2019 qui ne peuvent s’expliquer par la situation liée à la crise sanitaire. Par ces motifs, la Chambre des avocats, statuant à huis clos : I. Constate que l’avocat X.________ n’a pas violé l’art. 12 let. a LLCA. II. Dit que les frais de la cause, par 1’500 fr. (mille cinq cents francs), sont mis à la charge de Me X.________. III. Dit que la présente décision est immédiatement exécutoire et retire l’effet suspensif à un éventuel recours en application de l’art. 80 al. 2 LPA-VD. La présidente :               Le greffier : Du La décision qui précède, lue et approuvée à huis clos, est notifiée à : ‑ Me X.________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