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10/2015 vom 27. März 2015</w:t>
      </w:r>
    </w:p>
    <w:p>
      <w:r>
        <w:t>VD Tribunal cantonal, 2015-03-27, FR</w:t>
      </w:r>
    </w:p>
    <w:p>
      <w:r>
        <w:rPr>
          <w:b/>
        </w:rPr>
        <w:t xml:space="preserve">Quelle: </w:t>
      </w:r>
      <w:r>
        <w:t>https://mcp.opencaselaw.ch/entscheid/vd_findinfo_10_2015</w:t>
      </w:r>
    </w:p>
    <w:p>
      <w:r>
        <w:t>FR: VD_FINDINFO 10/2015 du 27 mars 2015</w:t>
      </w:r>
    </w:p>
    <w:p>
      <w:r>
        <w:t>IT: VD_FINDINFO 10/2015 del 27 marzo 2015</w:t>
      </w:r>
    </w:p>
    <w:p>
      <w:pPr>
        <w:pStyle w:val="Heading2"/>
      </w:pPr>
      <w:r>
        <w:t>Regeste</w:t>
      </w:r>
    </w:p>
    <w:p>
      <w:r>
        <w:t>RÉCUSATION, CONFLIT D'INTÉRÊTS, ADMISSION DE LA DEMANDE | 6 al. 1 let. a ROTC, 6 ROTC, 47 al. 1 let. f CPC (CH), 47 CPC (CH), 48 CPC (CH), 8a al. 3 CDPJ, 8a CDPJ, 8b al. 4 CDPJ</w:t>
      </w:r>
    </w:p>
    <w:p>
      <w:pPr>
        <w:pStyle w:val="Heading2"/>
      </w:pPr>
      <w:r>
        <w:t>Volltext</w:t>
      </w:r>
    </w:p>
    <w:p>
      <w:r>
        <w:t>Waadtland Tribunal cantonal Cour administrative 27.03.2015 10/2015 Vaud Tribunal cantonal Cour administrative 27.03.2015 10/2015 Vaud Tribunal cantonal Cour administrative 27.03.2015 10/2015</w:t>
      </w:r>
    </w:p>
    <w:p>
      <w:r>
        <w:t>RÉCUSATION, CONFLIT D'INTÉRÊTS, ADMISSION DE LA DEMANDE | 6 al. 1 let. a ROTC, 6 ROTC, 47 al. 1 let. f CPC (CH), 47 CPC (CH), 48 CPC (CH), 8a al. 3 CDPJ, 8a CDPJ, 8b al. 4 CDPJ</w:t>
      </w:r>
    </w:p>
    <w:p>
      <w:r>
        <w:t>TRIBUNAL CANTONAL J115.011809/CCU 10/2015 COUR ADMINISTRATIVE ______________________________ RECUSATION CIVILE Séance du 27 mars 2015 ____________________ Présidence de               M. Meylan , président Juges :              MM. Battistolo et Muller Greffière :              Mme Berger ***** Art. 47 al. 1 let. f et 48 CPC; art. 8a al. 3 et 8b al. 4 CDPJ; art. 6 al. 1 let. a ROTC Vu la requête de mainlevée provisoire déposée le 23 mars 2015 par K.________Ltd à l'encontre de J.________SA auprès de la Justice de paix du district de la Broye-Vully, vu le courrier du 25 mars 2015, par lequel le Premier juge de paix de la Justice de paix du district de la Broye-Vully a spontanément requis la récusation en corps de son office, en raison de l'activité de juge assesseur exercée par le directeur de la société intimée auprès dudit office, vu les pièces au dossier; attendu que la cour de céans est compétente pour statuer sur la demande de récusation spontanée du 23 mars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qu'en l'espèce, J.________SA est constituée en la forme d'une société anonyme, qu'il ressort de l'extrait du registre du commerce relatif à cette société que P.________ en est directeur avec signature individuelle, que ce dernier est actuellement juge assesseur auprès de la Justice de paix du district de la Broye-Vully, que cette activité implique des contacts réguliers et professionnels avec les membres de cette autorité, qu'il est possible qu'un rapport d'amitié ou d'inimitié ait pu naître des relations professionnelles entre P.________ et les magistrats appelés à statuer sur la requête du 23 mars 2015 (CA 3 novembre 2014/43; CA 2 juillet 2014/26), qu'il est par ailleurs lui-même investi d'un pouvoir décisionnel dans le cadre de sa fonction de juge assesseur, qu'il pourrait ainsi résulter de ces relations une apparence de prévention, du moins aux yeux de la partie adverse et des tiers, qu'afin de garantir l'impartialité de l'autorité appelée à statuer sur la requête de K.________Ltd , la demande de récusation présentée par le Premier juge de paix du district de la Broye-Vully doit être admise, que, dans un tel cas, la cause doit être déléguée à une autre juridiction ayant les mêmes compétences (art. 8b al. 4 CDPJ), qu'il convient dès lors de désigner la Justice de paix du district de Lausanne; attendu que le présent arrêt doit être rendu sans frais, ni dépens. Par ces motifs, la Cour administrative du Tribunal cantonal, statuant à huis clos prononce : I. La demande de récusation déposée le 23 mars 2015 par la Justice de paix du district de la Broye-Vully est admise. II. La cause est transmise, dans l'état où elle se trouve, à la Justice de paix du district de Lausanne. III. L'arrêt est rendu sans frais ni dépens. IV. L'arrêt est exécutoire. Le président :               La greffière : Du L'arrêt qui précède, dont la rédaction a été approuvée à huis clos, est notifié en expédition complète, par l'envoi de photocopies, à : ‑ Me Pritam Singh (pour K.________Ltd), - J.________SA, - Mme [...], Première juge de paix du district de la Broye-Vully.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Première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