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1051 vom 28. Dezember 2023</w:t>
      </w:r>
    </w:p>
    <w:p>
      <w:r>
        <w:t>VD Tribunal cantonal, 2023-12-28, FR</w:t>
      </w:r>
    </w:p>
    <w:p>
      <w:r>
        <w:rPr>
          <w:b/>
        </w:rPr>
        <w:t xml:space="preserve">Quelle: </w:t>
      </w:r>
      <w:r>
        <w:t>https://mcp.opencaselaw.ch/entscheid/vd_findinfo_1051___________</w:t>
      </w:r>
    </w:p>
    <w:p>
      <w:r>
        <w:t>FR: VD_FINDINFO 1051 du 28 décembre 2023</w:t>
      </w:r>
    </w:p>
    <w:p>
      <w:r>
        <w:t>IT: VD_FINDINFO 1051 del 28 dicembre 2023</w:t>
      </w:r>
    </w:p>
    <w:p>
      <w:pPr>
        <w:pStyle w:val="Heading2"/>
      </w:pPr>
      <w:r>
        <w:t>Regeste</w:t>
      </w:r>
    </w:p>
    <w:p>
      <w:r>
        <w:t>DÉTENTION PROVISOIRE, RISQUE DE RÉCIDIVE, PROLONGATION, RISQUE DE FUITE, PROPORTIONNALITÉ, MESURE DE SUBSTITUTION À LA DÉTENTION, REJET DE LA DEMANDE | 221 al. 1 let. a CPP (CH), 221 al. 1 let. c CPP (CH), 227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le détenu qui a qualité pour recourir (art. 382 al. 1 CPP) et dans les formes prescrites (art. 385 al. 1 CPP), le recours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Aux termes de l’art. 221 al. 2 CPP, la détention peut en outre être ordonnée s’il y a sérieusement lieu de craindre qu’une personne passe à l’acte après avoir menacé de commettre un crime grave.</w:t>
      </w:r>
    </w:p>
    <w:p>
      <w:r>
        <w:rPr>
          <w:b/>
        </w:rPr>
        <w:t>E. 3</w:t>
      </w:r>
    </w:p>
    <w:p>
      <w:r>
        <w:t>A juste titre, le recourant ne conteste pas l’existence de soupçons suffisants de culpabilité retenus à son encontre. Il peut être renvoyé à cet égard au développement contenu dans l’ordonnance du 18 décembre 2023 et non contesté, étant en particulier relevé que le prévenu a lui-même admis, lors de son audition du 8 décembre 2023, avoir placé un Temesta dans l’un des deux verres (PV aud. 11, R18), même s’il continue à prétendre que ce n’était pas destiné à la femme qui l’accompagnait. Quoiqu’il en soit, il existe à ce stade un faisceau d’indices concordants et suffisants laissant penser que le recourant avait l’intention de s’en prendre à l’intégrité sexuelle d’Y.________, en la mettant hors d’état de résister.</w:t>
      </w:r>
    </w:p>
    <w:p>
      <w:r>
        <w:rPr>
          <w:b/>
        </w:rPr>
        <w:t>E. 3.1</w:t>
      </w:r>
    </w:p>
    <w:p>
      <w:r>
        <w:t>Le recourant conteste en revanche le risque de fuite invoqué par le Ministère public, lequel n’a toutefois pas été examiné par le Tribunal des mesures de contrainte.</w:t>
      </w:r>
    </w:p>
    <w:p>
      <w:r>
        <w:rPr>
          <w:b/>
        </w:rPr>
        <w:t>E. 3.2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 La gravité de l'infraction ne peut pas, à elle seule, justifier la prolongation de la détention, même si elle permet souvent de présumer un danger de fuite en raison de l'importance de la peine dont le prévenu est menacé (ATF 145 IV 503 précité consid. 2.2 ; ATF 143 IV 160 précité ; TF 1B_291/2023 du 16 juin 2023 consid. 5.1).</w:t>
      </w:r>
    </w:p>
    <w:p>
      <w:r>
        <w:rPr>
          <w:b/>
        </w:rPr>
        <w:t>E. 3.3</w:t>
      </w:r>
    </w:p>
    <w:p>
      <w:r>
        <w:t>En l’espèce, le recourant est de nationalité srilankaise. Il est arrivé en Suisse en 2000, alors qu’il était âgé de 25 ans. Il s’est marié la même année et trois enfants sont nés de cette union, soit un premier garçon aujourd’hui âgé de 17 ans et des jumeaux de 14 ans. S’il avait obtenu un permis B, puis C avant son incarcération en 2012, il a aujourd’hui perdu ces titres de séjour et il est au bénéfice d’un permis F. Durant les vingt-trois ans passés en Suisse, X.________ a été détenu pendant près de 7 ans et ce peu après la naissance de ses jumeaux. Il a donc été éloigné de la vie familiale pendant plusieurs années et il ne semble pas s’être particulièrement investi dans celle-ci depuis sa sortie de détention. Lors de son audition, son épouse l’a en effet décrit comme « un accroc du boulot » qui ne passait que peu de temps avec ses enfants, tout en précisant qu’il les adorait. Aujourd’hui, le recourant n’a plus d’emploi fixe et il a expliqué rencontrer des difficultés à trouver du travail en raison de son statut de séjour. C’est son épouse qui subvient aux besoins financiers de la famille. Le couple n’entretiendrait plus de relations sexuelles depuis près de trois ans. Enfin, selon les déclarations de la victime, le rendez-vous du 15 septembre 2023 n’avait rien de « professionnel » ni aucun lien avec une « vente immobilière », comme l’a soutenu le prévenu, mais tendait bien à une rencontre sentimentale, comme cela ressort d’ailleurs des divers messages échangés avant la rencontre, ce que son épouse ignorait. A cela s’ajoute que dans le cadre de l’instruction menée par le Ministère public du canton de Genève, sa coprévenue, [...], aurait admis avoir entretenu des relations intimes avec le recourant (P. 37). Ces éléments font naître un doute important s’agissant de la fidélité de X.________ envers son épouse et, partant, la pérennité du couple si les faits qui lui sont reprochés devaient être confirmés. Si le recourant n’aurait plus de famille au Sri-Lanka, il a toutefois expliqué avoir des frères et sœurs dans plusieurs pays d’Europe. Au vu de l’ensemble de ces éléments, bien que le recourant soit établi en Suisse depuis près de 23 ans, ses attaches avec la Suisse semblent donc de plus en plus lâches. Il n’a plus de travail, il n’est plus qu’au bénéfice d’une admission provisoire en Suisse et il n’entretient que peu le lien avec ses enfants. Il a de la famille en Europe. Eu égard à la peine à laquelle il s'expose au vu de la gravité des faits reprochés dans le cadre de la procédure vaudoise, mais également par la jonction à venir de la procédure genevoise pour escroquerie, peine qui pourrait être couplée d’une expulsion pénale – les infractions qui lui sont reprochées étant constitutives d’un cas d’expulsion obligatoire –, il y a lieu de craindre que le recourant quitte la Suisse ou tombe dans la clandestinité pour échapper à la justice pénale s'il venait à être libéré. L e risque de fuite est donc manifestement réalisé et, pour ce motif déjà, la détention provisoire de X.________ est justifiée.</w:t>
      </w:r>
    </w:p>
    <w:p>
      <w:r>
        <w:rPr>
          <w:b/>
        </w:rPr>
        <w:t>E. 4.1</w:t>
      </w:r>
    </w:p>
    <w:p>
      <w:r>
        <w:t>Le recourant conteste ensuite les risques de réitération et de passage à l’acte retenus par le Tribunal des mesures de contrainte, en faisant valoir en substance que les expertises, évaluations et jugements sur lesquels s’est fondé le Tribunal des mesures de contrainte sont très anciens et ne sauraient dès lors être pris en considération à ce stade dans l’analyse de l’existence du risque de récidive.</w:t>
      </w:r>
    </w:p>
    <w:p>
      <w:r>
        <w:rPr>
          <w:b/>
        </w:rPr>
        <w:t>E. 4.2.1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La gravité de l'infraction dépend, outre de la peine menace prévue par la loi, de la nature du bien juridique menacé et du contexte, notamment de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146 IV 326 consid. 3.1 ;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ATF 143 IV</w:t>
      </w:r>
    </w:p>
    <w:p>
      <w:r>
        <w:rPr>
          <w:b/>
        </w:rPr>
        <w:t>E. 4.2.2</w:t>
      </w:r>
    </w:p>
    <w:p>
      <w:r>
        <w:t>Le risque de passage à l’acte prévu par l’art. 221 al. 2 CPP représente un motif de détention autonome qui ne requiert pas un soupçon grave de la commission d’une infraction (Moreillon/Parein-Reymond, Petit Commentaire, Code de procédure pénale, 2 e éd., Bâle 2016, n. 48a ad art. 212 al. 2 CPP). Il doit s’agir d’un crime grave et non seulement d’un délit (ATF 137 IV 122 consid. 5.2). Il convient de faire preuve de retenue dans l'admission du risque de passage à l’acte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ATF 137 IV 122 précité). Plus l'infraction redoutée est grave, plus la mise en détention se justifie lorsque les éléments disponibles ne permettent pas une évaluation précise de ce risque (ATF 140 IV 19 précité consid. 2.2.2 et les références citées ; TF 1B_138/2023 du 28 mars 2023 consid. 2.1).</w:t>
      </w:r>
    </w:p>
    <w:p>
      <w:r>
        <w:rPr>
          <w:b/>
        </w:rPr>
        <w:t>E. 4.3</w:t>
      </w:r>
    </w:p>
    <w:p>
      <w:r>
        <w:t>En l’espèce, il est vrai que le jugement qui a condamné le recourant à une peine privative de liberté de cinq ans, notamment pour viol et contrainte sexuelle, remonte à 2013, alors qu’un autre jugement, le condamnant pour contrainte sexuelle, avait été prononcé en 2009. Avec le recourant, on peut considérer que ces deux jugements sont donc relativement anciens. Toutefois, au vu des similitudes qui existent entre la présente cause et le jugement de 2013 notamment, ces antécédents ne sauraient être ignorés au moment d’examiner le risque de récidive. A cela s’ajoute que le recourant a depuis lors été soumis à plusieurs expertises psychiatriques ; la dernière est datée de 2019 et elle est donc loin d’être obsolète. Considérant les faits reprochés au recourant dans le cadre de la présente procédure, les conclusions des experts dans leur rapport de 2019 – à savoir l’existence d’un risque de récidive modéré à élevé d’actes de même nature (ndr : d’atteinte à l’intégrité sexuelle) – doivent évidemment être prises en considération dans le cadre de l’élaboration du pronostic qu’il convient de poser pour déterminer si le prévenu présente un risque de récidive. A cela s’ajoute qu’en juillet 2021, le Juge d’application des peines a prolongé le traitement ambulatoire ordonné en faveur de X.________ en 2013, en retenant que le risque de récidive présenté par celui-ci n’était pas encore réduit « dans une mesure acceptable pour la sécurité publique » malgré les nombreuses années de traitement . Tout bien considéré, l’argument du recourant doit être rejeté et c’est donc à bon droit que le Tribunal des mesures de contrainte s’est fondé sur les antécédents pénaux du recourant, ainsi que sur les expertises au dossier. A ce stade de l’enquête, il apparaît que le recourant pourrait ne pas être parvenu à juguler les pulsions sexuelles auxquelles il est en proie et qu’il aurait une nouvelle fois tenté de s’en prendre à l’intégrité sexuelle d’une jeune femme, en tentant de la mettre hors d’état de résister. Considérant les antécédents du recourant, la valeur du bien juridique protégé, soit l’intégrité sexuelle de tiers, et les conclusions des diverses expertises au dossier, les faits qui sont reprochés à X.________ dans le cadre de la présente procédure sont particulièrement inquiétants et conduisent à se montrer extrêmement prudent. Le recourant soutient que le Tribunal des mesures de contrainte aurait passé sous silence un certain nombre d’éléments ressortant de l’expertise rendue le 3 avril 2019, en particulier le fait que l’éventuel risque de récidive pouvait être pondéré par l’existence de facteurs de protection, à savoir l’existence d’une structure familiale soutenante, prête à l’accueillir à l’époque, ainsi que de facteurs sur le plan professionnel. Ces éléments, sans devoir être ignorés, ne semblent toutefois plus être d’actualité, comme on l’a vu dans le cadre de l’examen du risque de fuite (cf. consid. 3.3 ci-dessus). En effet, on peut craindre qu’au vu des nouveaux faits qui lui sont reprochés, la famille du recourant ne joue plus l’effet structurant et soutenant escompté. A cela s’ajoute le désœuvrement de l’intéressé. Ces éléments laissent penser que les facteurs protecteurs relevés à l’époque par les experts pourraient être moindres aujourd’hui, ce qui accroit d’autant le risque de récidive. En définitive, on peut à ce stade redouter la survenance d’actes similaires à l’avenir si le recourant devait être libéré, voire qu’il parvienne cette fois à ses fins. Les risques de récidive et de passage à l’acte sont donc réalisés et la sécurité publique doit primer sur la liberté personnelle du recourant. Mal fondé, le grief doit donc être rejeté. 5. 5.1 Le recourant invoque enfin une violation du principe de la proportionnalité. Il fait valoir que ce serait à tort que le Tribunal des mesures de contrainte aurait considéré qu’aucune mesure de substitution n’était à même de pallier les risques retenus. Il soutient que l’interdiction de contact avec des parties à la procédure et l’obligation de demeurer à domicile – sous contrôle d’un bracelet électronique par exemple – seraient à même de pallier tout risque relevé par le Tribunal des mesures de contrainte. 5.2 5.2.1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Commentaire romand, Code de procédure pénale suisse, 2 e éd., Bâle 2019 , n. 2 ad art. 237 CPP). Le juge de la détention peut également, le cas échéant, assortir les mesures de substitution de toute condition propre à en garantir l’efficacité (ATF 145 IV 503 consid. 3.1). 5.2.2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143 IV 168, consid. 5.1 ; ATF 133 I 270 consid. 3.4.2). 5.3 5.3.1 En l’espèce, c’est à juste titre que le Tribunal des mesures de contrainte a retenu que les mesures de substitution proposées n’étaient pas propres à pallier le risque de récidive retenu. Elles le sont encore moins s’agissant du risque de fuite qui doit également être retenu. En effet, le port d’un bracelet électronique ne permettrait qu’une constatation a posteriori de la réalisation du risque de fuite. Quant à l’interdiction d’entretenir des relations avec les personnes concernées par la procédure, outre qu’elle ne reposerait que sur la bonne volonté du recourant, elle n’a aucune incidence sur l’un ou l’autre des risques retenus, dès lors que le risque de récidive n’est pas dirigé uniquement contre les personnes concernées par la procédure et que le risque de fuite n'est en rien pallié par une interdiction de contact. Aucune autre mesure de substitution n’apparaît au demeurant susceptible de prévenir les risques retenus en l’espèce. 5.3.2 Pour le surplus, malgré la prolongation de trois mois requise par le Ministère public, le principe de proportionnalité demeure pleinement respecté. En effet, au vu de la gravité des faits qui lui sont reprochés dans la présente cause et compte tenu de la jonction prochaine de la procédure genevoise, la peine privative de liberté à laquelle le recourant s’expose concrètement est clairement supérieure à la détention provisoire qu’il aura subie au terme de la prolongation. 6. Il résulte de ce qui précède que le recours, manifestement mal fondé, doit être rejeté, sans échange d’écritures (art. 390 al. 2 CPP), et l’ordonnance du 18 décembre 2023 confirmée. Les frais de la procédure de recours, par 1’760 fr. (art. 20 al. 1 TFIP [tarif des frais de procédure et indemnités en matière pénale du 28 septembre 2010 ; BLV 312.03.1]), ainsi que les frais imputables à la défense d’office (art. 422 al. 1 et 2 let. a CPP), arrêtés, sur la base de la liste des opérations produites par Me Vladimir Chautems et dont il n’y a pas lieu de s’écarter, à 594 fr. en chiffres arrondis, qui comprennent des honoraires par 540 fr., pour trois heures d’activité nécessaire d’avocat, au tarif horaire de 180 fr., des débours forfaitaires par 10 fr. 80 (cf. art. 26b TFIP qui renvoie à l'art. 3bis RAJ [règlement sur l’assistance judiciaire en matière civile du 7 décembre 2010 ;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18 décembre 2023 est confirmée. III. L’indemnité allouée au défenseur d’office de X.________ est fixée à 594 fr. (cinq cent nonante-quatre francs). IV. Les frais d’arrêt, par 1’760 fr. (mille sept cent soixante francs), ainsi que l’indemnité due au défenseur d’office de X.________, par 594 fr. (cinq cent nonante-quatre francs), sont mis à la charge de ce dernier. V. Le remboursement à l'Etat de l'indemnité allouée au chiffre III ci-dessus ne sera exigible que pour autant que la situation financière de X.________ le permette. VI. L’arrêt est exécutoire. La présidente :               La greffière : Du Le présent arrêt, dont la rédaction a été approuvée à huis clos, est notifié, par l'envoi d'une copie complète, à : - Me Vladimir Chautems, avocat (pour X.________), - Ministère public central, et communiqué à : ‑ Mme la Présidente du Tribunal des mesures de contrainte, - M. le Procureur de l’arrondissement du Nord vaudois,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9</w:t>
      </w:r>
    </w:p>
    <w:p>
      <w:r>
        <w:t>consid. 2.8 et les références citées). Le risque de récidive peut également se fonder sur les infractions faisant l'objet de la procédure pénale en cours, si le prévenu est fortement soupçonné – avec une probabilité confinant à la certitude – de les avoir commises (ATF 146 IV 326 consid. 3.1 ;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consid. 3.1 ; TF 1B_530/2022 du 4 novembre 2022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