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1049 vom 28. Dezember 2023</w:t>
      </w:r>
    </w:p>
    <w:p>
      <w:r>
        <w:t>VD Tribunal cantonal, 2023-12-28, FR</w:t>
      </w:r>
    </w:p>
    <w:p>
      <w:r>
        <w:rPr>
          <w:b/>
        </w:rPr>
        <w:t xml:space="preserve">Quelle: </w:t>
      </w:r>
      <w:r>
        <w:t>https://mcp.opencaselaw.ch/entscheid/vd_findinfo_1049___________</w:t>
      </w:r>
    </w:p>
    <w:p>
      <w:r>
        <w:t>FR: VD_FINDINFO 1049 du 28 décembre 2023</w:t>
      </w:r>
    </w:p>
    <w:p>
      <w:r>
        <w:t>IT: VD_FINDINFO 1049 del 28 dicembre 2023</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 e éd., Berne 2022, n. 31 ad art. 107 LTF).</w:t>
      </w:r>
    </w:p>
    <w:p>
      <w:r>
        <w:rPr>
          <w:b/>
        </w:rPr>
        <w:t>E. 2.1</w:t>
      </w:r>
    </w:p>
    <w:p>
      <w:r>
        <w:t>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Dans d’autres causes s’inscrivant dans des circonstances parfaitement analogues au cas d’espèce (cf. TF 6B_429/2022 et 6B_436/2022 du 23 août 2023 consid. 7), toujours en se fondant sur sa jurisprudence publiée aux ATF 149 IV 9, le Tribunal fédéral a considéré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d'une part,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w:t>
      </w:r>
    </w:p>
    <w:p>
      <w:r>
        <w:rPr>
          <w:b/>
        </w:rPr>
        <w:t>E. 2.2</w:t>
      </w:r>
    </w:p>
    <w:p>
      <w:r>
        <w:t>Se référant à cette jurisprudence, dans son arrêt du 23 août 2023, le Tribunal fédéral a considéré qu'une ordonnance pénale comportant une désignation générique analogue à celle retenue dans le cas d’E.________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soit la validité de la procuration, aboutissaient à une violation de la prohibition du formalisme excessif et de la garantie d’accès au juge.</w:t>
      </w:r>
    </w:p>
    <w:p>
      <w:r>
        <w:rPr>
          <w:b/>
        </w:rPr>
        <w:t>E. 2.3</w:t>
      </w:r>
    </w:p>
    <w:p>
      <w:r>
        <w:t>En l’espèce, en vertu de l’autorité de renvoi de l’arrêt du Tribunal fédéral, force est de constater que la Cour de céans ne pouvait pas déclarer irrecevable le recours déposé par Me J.________ au motif qu’elle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auteure, qui y était désignée comme dans l’ordonnance pénale. Il s’ensuit que le recours s’avère en définitive recevable et bien fondé.</w:t>
      </w:r>
    </w:p>
    <w:p>
      <w:r>
        <w:rPr>
          <w:b/>
        </w:rPr>
        <w:t>E. 3</w:t>
      </w:r>
    </w:p>
    <w:p>
      <w:r>
        <w:t>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de la recourante, qui obtient entièrement gain de cause sur l’une de ses conclusions alternatives. La recourante, qui obtient gain de cause et qui a procédé avec l’assistance d’un avocat de choix, a droit à une indemnité pour les dépenses occasionnées par l’exercice raisonnable de ses droits pour la procédure antérieure et ultérieure à l’arrêt du Tribunal fédéral. La liste d’opérations du 25 novembre 2021 fait état d’une activité de 9h10, ce qui n’est pas excessif au vu du mémoire de recours déposé. Pour tenir compte également de l’activité déployée depuis l’arrêt de renvoi, l’indemnité sera fixée à 2’850 fr., sur la base de 9,5 heures d’activité nécessaire d’avocat au tarif horaire de 300 fr. (art. 26a al. 3 TFIP), le tarif de 400 fr. étant trop élevé au regard de la complexité de la cause. Il faut y ajouter 2 % pour les débours forfaitaires (art. 19 al. 2 TDC [tarif des dépens en matière civile du 23 novembre 2010 ; BLV 270.11.6]), applicable par renvoi de l’art. 26a al. 6 TFIP), soit 57 fr., et la TVA de 7,7 % sur le tout, soit 223 fr. 85, ce qui correspond à la somme totale de 3'131 fr. en chiffres arrondis. Cette indemnité sera mise à la charge de l’Etat et versée à Me J.________ pour le compte d’E.________, puisque dite indemnité ne peut lui être versée directement. Me J.________, qui n’était pas concernée personnellement par la procédure antérieure à l’arrêt du Tribunal fédéral et qui a agi seule pour la procédure ultérieure, n’a pas droit à une indemnité. Elle n’en demande du reste pas.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880 fr. (huit cent huitante francs), sont laissés à la charge de l’Etat. V. Une indemnité de 3’131 fr. (trois mille cent trente-et-un francs) est allouée à Me J.________ pour E.________ pour les dépenses occasionnées par les procédures de recours antérieure et postérieure à l’arrêt du Tribunal fédéral, à la charge de l’Etat. VI. L’arrêt est exécutoire. La présidente :               Le greffier : Du Le présent arrêt, dont la rédaction a été approuvée à huis clos, est notifié, par l'envoi d'une copie complète, à : - Me J.________, avocate (pour elle-même et pour E.________), - Ministère public central, et communiqué à : ‑ M. le Président du Tribunal de police de l’arrondissement de La Côte,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