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1048 vom 27. Dezember 2023</w:t>
      </w:r>
    </w:p>
    <w:p>
      <w:r>
        <w:t>VD Tribunal cantonal, 2023-12-27, FR</w:t>
      </w:r>
    </w:p>
    <w:p>
      <w:r>
        <w:rPr>
          <w:b/>
        </w:rPr>
        <w:t xml:space="preserve">Quelle: </w:t>
      </w:r>
      <w:r>
        <w:t>https://mcp.opencaselaw.ch/entscheid/vd_findinfo_1048___________</w:t>
      </w:r>
    </w:p>
    <w:p>
      <w:r>
        <w:t>FR: VD_FINDINFO 1048 du 27 décembre 2023</w:t>
      </w:r>
    </w:p>
    <w:p>
      <w:r>
        <w:t>IT: VD_FINDINFO 1048 del 27 dicembre 2023</w:t>
      </w:r>
    </w:p>
    <w:p>
      <w:pPr>
        <w:pStyle w:val="Heading2"/>
      </w:pPr>
      <w:r>
        <w:t>Regeste</w:t>
      </w:r>
    </w:p>
    <w:p>
      <w:r>
        <w:t>ORDONNANCE DE NON-ENTRÉE EN MATIÈRE, ABUS D'AUTORITÉ, REJET DE LA DEMANDE, DÉCISION D'IRRECEVABILITÉ, MOTIVATION DE LA DEMANDE, OPPOSITION À UN ACTE DE L'AUTORITÉ, EMPÊCHEMENT{EN GÉNÉRAL} | 286 CP, 312 CP, 310 CPP (CH), 385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 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StPO et les références citées ; Keller, in : Donatsch/Lieber/Summers/Wohlers [éd.], Zürcher Kommentar, Kommentar zur Schweizerischen Strafprozessordnung, 3 e éd., Zurich/ Bâle/Genève 2020, n. 14 ad art. 396 StPO et les références citées ; Calame, in : Jeanneret et al. [éd.], Commentaire romand, Code de procédure pénale suisse,</w:t>
      </w:r>
    </w:p>
    <w:p>
      <w:r>
        <w:rPr>
          <w:b/>
        </w:rPr>
        <w:t>E. 1.3</w:t>
      </w:r>
    </w:p>
    <w:p>
      <w:r>
        <w:t>En l’espèce, interjeté en temps utile devant l’autorité compétente par la partie plaignante qui a qualité pour recourir (art. 382 al. 1 CPP), et satisfaisant aux conditions de forme prescrites (art. 385 al. 1 CPP), sous réserve de ce qui sera exposé aux considérants 3.3 et 4.3 ci-dessous,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6B_196/2020 du 14 octobre 2020 consid. 3.1).</w:t>
      </w:r>
    </w:p>
    <w:p>
      <w:r>
        <w:rPr>
          <w:b/>
        </w:rPr>
        <w:t>E. 3.1</w:t>
      </w:r>
    </w:p>
    <w:p>
      <w:r>
        <w:t>La recourante soutient que les éléments constitutifs de l’infraction d’abus d’autorité seraient réalisés. Elle fait valoir que le fait pour le syndic d’avoir préavisé à l’attention de ses collègues de la Municipalité constituerait un acte de puissance publique, soutient qu’il aurait voté alors qu’il aurait dû se récuser et prétend qu’il aurait très probablement signé des décisions de la Municipalité dans le but de lui nuire. Elle relève encore que B.________ aurait décidé seul de ne pas se récuser alors qu’il devait le faire et qu’il aurait eu une position de garant, de sorte que son comportement serait punissable même par omission. Elle fait par surabondance valoir que le fait de recourir contre l’autorisation de la CAMAC constituerait un acte de contrainte direct contre elle et fait état de potentiels actes de contrainte exercés par B.________ sur les deux autres membres de la Municipalité. Invoquant une violation du principe « in dubio pro duriore », elle se prévaut enfin du rapport du 29 octobre 2021 établi par la Préfète A.________ à la demande du Conseil d’Etat.</w:t>
      </w:r>
    </w:p>
    <w:p>
      <w:r>
        <w:rPr>
          <w:b/>
        </w:rPr>
        <w:t>E. 3.2</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 [éd.], Code pénal, Petit commentaire, 2 e éd. 2017, n. 20 ad art. 312 CP). L’exercice de la puissance publique vise deux hypothèses : l’acte de disposition de droit public ( Verfügung ) et l’acte matériel de contrainte ( Zwang ) (TPF BB.2006.124 du 22 janvier 2007 consid. 2.1 ; Dupuis et al. [éd.],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w:t>
      </w:r>
    </w:p>
    <w:p>
      <w:r>
        <w:rPr>
          <w:b/>
        </w:rPr>
        <w:t>E. 3.3</w:t>
      </w:r>
    </w:p>
    <w:p>
      <w:r>
        <w:t>En l’espèce, il peut être donné acte à la recourante, à la lecture du rapport de la Préfète A.________, que B.________ n’a pas respecté les règles en matière de récusation. Le procureur a considéré que le fait pour le syndic de ne pas s’être récusé alors qu’il aurait dû le faire n’était pas suffisant pour constituer un abus d’autorité, dès lors qu’un acte de puissance publique était encore nécessaire. Dans son acte, la recourante se borne à répéter que B.________ aurait dû se récuser, sans expliquer pour quelle raison l’appréciation du procureur, au demeurant justifiée, serait erronée. Faute de répondre aux exigences de motivation de l’art. 385 CPP, ce grief est irrecevable. Par ailleurs, force est de constater, comme l’a retenu à juste titre le Ministère public, que la recourante n’a pas fait l’objet d’une décision contraignante fixant sa situation juridique de manière illicite. En effet, le fait pour le syndic d’avoir préavisé à l’attention de ses collègues de la Municipalité ne saurait réaliser l’infraction d’abus d’autorité, dès lors qu’il ne constitue pas une décision, et encore moins un acte de puissance publique, tout comme le fait d’avoir voté, qui ne saurait constituer un acte de disposition de droit public ou un acte matériel de contrainte. Il est au demeurant rappelé qu’une simple violation des devoirs de fonction n’est pas suffisante pour considérer qu’il existerait un abus. Quant aux décisions que le syndic aurait probablement signées dans le but de lui nuire, dont la recourante ne dit au demeurant rien, force est de constater qu’il s’agit de simples suppositions qui ne permettent pas de fonder des soupçons suffisants de commission d’une infraction, étant rappelé qu’il ne suffit pas d’alléguer qu’une infraction pénale a été commise, les indices en ce sens devant être importants et de nature concrète (cf. TF 6B_212/2020 précité ; TF 6B_196/2020 précité). S’agissant enfin des actes de contrainte que N.________ SA reproche à B.________ d’avoir exercés sur les autres membres de la Municipalité, la recourante ne fait là non plus valoir aucun élément concret à leur sujet, étant relevé que le simple fait pour un syndic d’avoir usé de son expérience et de son « aura » ne saurait être considéré comme un acte de contrainte. C’est donc à juste titre que le Ministère public a retenu que les éléments constitutifs objectifs de l’infraction d’abus d’autorité n’étaient manifestement pas réalisés en l’espèce et qu’il a refusé d’entrer en matière, sans qu’il soit nécessaire d’examiner si les éléments subjectifs de l’infraction sont réalisés.</w:t>
      </w:r>
    </w:p>
    <w:p>
      <w:r>
        <w:rPr>
          <w:b/>
        </w:rPr>
        <w:t>E. 4.1</w:t>
      </w:r>
    </w:p>
    <w:p>
      <w:r>
        <w:t>La recourante fait valoir que les éléments constitutifs de l’infraction d’empêchement d’accomplir un acte officiel seraient réunis. Elle soutient qu’en imposant sa présence dans la salle alors qu’il aurait dû se récuser, le syndic aurait empêché – à tout le moins entravé ou rendu plus difficile – la tenue de la séance de la Municipalité, et fait valoir qu’il s’agirait d’une « omission coupable d’un acte qu’il était juridiquement tenu d’accomplir ».</w:t>
      </w:r>
    </w:p>
    <w:p>
      <w:r>
        <w:rPr>
          <w:b/>
        </w:rPr>
        <w:t>E. 4.2</w:t>
      </w:r>
    </w:p>
    <w:p>
      <w:r>
        <w:t>En vertu de l’art. 286 al. 1 CP, quiconque empêche une autorité, un membre d'une autorité ou un fonctionnaire d'accomplir un acte entrant dans ses fonctions sera puni d'une peine pécuniaire de 30 jours-amende au plus. Cette disposition vise à garantir le bon fonctionnement des autorités publiques (Dupuis et al. [éd.], op. cit., n. 2 ad remarques préliminaires aux art. 285 à 295 CP et les références citées).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(ATF 127 IV 115 consid. 2 ; ATF 120 IV 136 consid. 2a et les références citées). De même, le seul fait d’exprimer son désaccord à l’encontre d’un acte entrepris par un fonctionnaire, mais sans l’entraver, n’est pas constitutif de l’infraction (ATF 105 IV 48 consid. 3, JdT 1980 IV 138).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de l'art. 286 CP requiert l'intention, mais le dol éventuel suffit (TF 6B_89/2019 précité consid. 1.5 ; TF 6B_783/2018 du 6 mars 2019 consid. 2.5.1).</w:t>
      </w:r>
    </w:p>
    <w:p>
      <w:r>
        <w:rPr>
          <w:b/>
        </w:rPr>
        <w:t>E. 4.3</w:t>
      </w:r>
    </w:p>
    <w:p>
      <w:r>
        <w:t>Le Ministère public a constaté que B.________ n’avait pas empêché le déroulement des séances de la Municipalité et a considéré que le fait que, lors de celles-ci, une décision appelée de ses vœux par la plaignante n’avait pas été prise ne saurait entrer dans les prévisions de l’infraction d’empêchement d’accomplir un acte officiel. Il a au demeurant relevé que la plaignante ne pouvait en tout état de cause pas être considérée comme lésée par la commission de cette infraction, dès lors que l’art. 286 CP protégeait un bien juridique collectif et non individuel. Le recourante se borne à répéter les termes de sa plainte, à savoir que le syndic était tenu de se récuser et qu’il aurait à tout le moins entravé ou rendu plus difficile, par sa présence, la tenue de la séance de la Municipalité. Ce faisant, elle ne conteste pas le raisonnement opéré par le Ministère public et n’explique pas en quoi la décision du procureur serait erronée. Son grief ne comporte ainsi aucune argumentation susceptible de contrecarrer les constatations de fait et les conclusions juridiques du Ministère public, qui ne sont au demeurant pas critiquables, de sorte qu’il est irrecevable, faute de satisfaire aux exigences de motivation de l’art. 385 CPP.</w:t>
      </w:r>
    </w:p>
    <w:p>
      <w:r>
        <w:rPr>
          <w:b/>
        </w:rPr>
        <w:t>E. 5</w:t>
      </w:r>
    </w:p>
    <w:p>
      <w:r>
        <w:t>En définitive, le recours, manifestement mal fondé, doit être rejeté dans la mesure où il est recevable, sans échange d’écritures (art. 390 al. 2 CPP), et l’ordonnance entreprise confirmée. Vu le sort du recours, les frais de la procédure, constitués en l’espèce du seul émolument d’arrêt, par 1’100 fr. (art. 20 al. 1 TFIP [tarif des frais de procédure et indemnités en matière pénale du 28 septembre 2010 ; BLV 312.03.1]), seront mis à la charge de la recourante, qui succombe (art. 428 al. 1 CPP). Par ailleurs, aucune indemnité ne lui sera allouée pour les dépenses occasionnées par la procédure. Par ces motifs, la Chambre des recours pénale prononce : I. Le recours est rejeté dans la mesure où il est recevable. II. L’ordonnance du 28 août 2023 est confirmée. III. Les frais d’arrêt, par 1’100 fr. (mille cent francs), sont mis à la charge de N.________ SA. IV. L’arrêt est exécutoire. La présidente :               La greffière : Du Le présent arrêt, dont la rédaction a été approuvée à huis clos, est notifié, par l'envoi d'une copie complète, à : - Me Gaspard Couchepin, avocat (pour N.________ SA), - Ministère public central, et communiqué à : ‑ M. le Procureur général adjoint,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