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1047 vom 27. Dezember 2023</w:t>
      </w:r>
    </w:p>
    <w:p>
      <w:r>
        <w:t>VD Tribunal cantonal, 2023-12-27, FR</w:t>
      </w:r>
    </w:p>
    <w:p>
      <w:r>
        <w:rPr>
          <w:b/>
        </w:rPr>
        <w:t xml:space="preserve">Quelle: </w:t>
      </w:r>
      <w:r>
        <w:t>https://mcp.opencaselaw.ch/entscheid/vd_findinfo_1047___________</w:t>
      </w:r>
    </w:p>
    <w:p>
      <w:r>
        <w:t>FR: VD_FINDINFO 1047 du 27 décembre 2023</w:t>
      </w:r>
    </w:p>
    <w:p>
      <w:r>
        <w:t>IT: VD_FINDINFO 1047 del 27 dicembre 2023</w:t>
      </w:r>
    </w:p>
    <w:p>
      <w:pPr>
        <w:pStyle w:val="Heading2"/>
      </w:pPr>
      <w:r>
        <w:t>Regeste</w:t>
      </w:r>
    </w:p>
    <w:p>
      <w:r>
        <w:t>RÈGLEMENT DUBLIN, DÉTENTION AUX FINS D'EXPULSION, LÉGALITÉ, PROPORTIONNALITÉ, RISQUE DE FUITE, PROCÉDURE DUBLIN | 76a al. 1 LEI, 76a al. 2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w:t>
      </w:r>
    </w:p>
    <w:p>
      <w:r>
        <w:rPr>
          <w:b/>
        </w:rPr>
        <w:t>E. 1.2</w:t>
      </w:r>
    </w:p>
    <w:p>
      <w:r>
        <w:t>Interjeté en temps utile et auprès de l’autorité compétente par une personne placée en détention administrative, qui a un intérêt digne de protection à la modification ou à l’annulation de l’ordonnance querellée, le recours est recevable.</w:t>
      </w:r>
    </w:p>
    <w:p>
      <w:r>
        <w:rPr>
          <w:b/>
        </w:rPr>
        <w:t>E. 2</w:t>
      </w:r>
    </w:p>
    <w:p>
      <w:r>
        <w:t>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28 juin 2023/518 consid. 2 et les références citées). Elle statue à bref délai (cf. art. 31 al. 4 LVLEI). Elle applique au surplus la LPA-VD (loi sur la procédure administrative du 28 octobre 2008 ; BLV 173.36) (cf. art. 31 al. 6 LVLEI).</w:t>
      </w:r>
    </w:p>
    <w:p>
      <w:r>
        <w:rPr>
          <w:b/>
        </w:rPr>
        <w:t>E. 3</w:t>
      </w:r>
    </w:p>
    <w:p>
      <w:r>
        <w:t>Invoquant une violation de l’art. 76a LEI, le recourant soutient qu’il n’aurait jamais tenté de se soustraire à ses obligations, pensant, à la lecture de la décision du SEM du 8 mars 2023, qu’il pouvait demeurer légalement en Suisse jusqu’au 1 er septembre 2023. Il relève en outre qu’il était détenu du 22 avril au 1 er décembre 2023, de sorte qu’il n’avait pas pu partir de lui-même. Il reproche également au Tribunal des mesures de contraire de ne pas avoir pris la peine d’examiner la mise en œuvre de mesures moins coercitives, à l’instar d’une « obligation de se présenter en un lieu déterminé ».</w:t>
      </w:r>
    </w:p>
    <w:p>
      <w:r>
        <w:rPr>
          <w:b/>
        </w:rPr>
        <w:t>E. 3.1</w:t>
      </w:r>
    </w:p>
    <w:p>
      <w:r>
        <w:t>La détention administrative porte une atteinte grave à la liberté personnelle et ne peut être ordonnée que dans le respect de l'art.</w:t>
      </w:r>
    </w:p>
    <w:p>
      <w:r>
        <w:rPr>
          <w:b/>
        </w:rPr>
        <w:t>E. 3.2</w:t>
      </w:r>
    </w:p>
    <w:p>
      <w:r>
        <w:t>E.________ n’a pas quitté la Suisse dans le délai qui lui avait été imparti par le SEM dans sa décision du 8 mars 2023, entrée en force le 21 mars 2023. Ce délai avait été fixé, au plus tard, au jour suivant l’échéance du délai de recours, soit, en l’espèce, le 22 mars 2023, et non, comme le soutient le recourant, au 1 er septembre 2023. A cet égard, le dispositif de la décision du SEM est parfaitement clair, celui-ci précisant qu’en cas de non départ dans le délai précité, le recourant pouvait être placé en détention et transféré sous contrainte vers l’Etat Dublin responsable. Nonobstant cette injonction, le recourant est encore resté un mois en Suisse, avant d’être interpellé et placé en détention provisoire après avoir commis des infractions. Il faut dès lors constater qu’en demeurant sur le sol helvétique, E.________ n’a pas respecté les instructions des autorités. Par ailleurs, il ressort de la décision susmentionnée que lors de son audition, il a déclaré qu’il ne voulait pas retourner en [...]. Enfin, sans domicile ni attaches en Suisse et désormais expulsé du territoire helvétique pour une durée de 5 ans, il est susceptible de disparaître dans la clandestinité pour échapper à son refoulement. Il existe ainsi des éléments concrets permettant de fonder la crainte que le recourant entende se soustraire à l’exécution de son renvoi, de sorte que c’est à juste titre que le Tribunal des mesures de contrainte a considéré que les conditions de la détention administrative étaient réalisées. On ajoutera que le recourant a été condamné, par deux fois, pour vol, soit pour un crime, ce qui constitue également un motif justifiant une détention administrative (cf. art. 76a al. 2 let. h). Contrairement à ce que prétend le recourant, le premier juge a bien examiné si des mesures moins coercitives qu’une détention administrative, comme une assignation à résidence ou une obligation de se présenter en un lieu déterminé, pouvaient permettre d’assurer l’exécution du renvoi. Il a estimé que tel n’était pas le cas, vu le comportement adopté par le recourant par le passé et les propos qu’il avait tenus. Cette appréciation ne prête pas le flanc à la critique. En effet, comme on l’a vu, le recourant est demeuré en Suisse au mépris des instructions des autorités. Il y a commis des infractions, a été condamné par deux fois et a été expulsé de Suisse. Il est en outre sans domicile et a manifesté devant le SEM son refus d’être renvoyé en [...]. Dans ces circonstances, il existe un risque sérieux et concret qu’il tente de se soustraire à son renvoi si sa détention administrative était levée. Aucune mesure moins attentatoire à la liberté personnelle n’est ainsi envisageable et ceci, quels que soient les engagements que le recourant se déclare prêt à prendre, puisque ceux-ci ne reposeraient que sur sa bonne volonté. Il en va ainsi de l’obligation de se présenter en un lieu déterminé, qui au demeurant permettrait uniquement de constater sa disparition a posteriori . 4. Invoquant l’art. 29 du Règlement Dublin III, le recourant considère que sa détention est disproportionnée. Selon lui, l’acceptation par la [...] de son admission sur son territoire remonterait à plus de six mois, de sorte que cet Etat serait libéré de son obligation de l’admettre sur son sol. Il ne serait donc pas certain qu’il puisse être renvoyé en [...]. 4.1 Le règlement Dublin III, en vigueur depuis le 19 juillet 2013, permet de désigner un Etat responsable pour l’examen de chaque demande d’asile dans les pays composant la zone Dublin, soit les 28 Etats membres de l’Union européenne, l’Islande, la Norvège, le Liechtenstein et la Suisse. Ce régime vise ainsi à éviter que des requérants d’asile ne forment plusieurs demandes d’asile dans différents Etats Dublin. Dans une jurisprudence récente destinée à la publication, le Tribunal fédéral a rappelé les deux possibilités de détention prévues par le Règlement Dublin III pour assurer le renvoi vers l’Etat concerné : une personne peut être détenue pendant la clarification de l’Etat Dublin responsable, puis, une fois cet Etat désigné, pour garantir le transfert (TF 2C_610/2021 du 11 mars 2022 consid. 2.3 et les références). Selon l’art. 29 par. 1 du règlement Dublin III, le transfert du demandeur de l’État membre requérant vers l’État membre responsable s’effectue conformément au droit national de l’État membre requérant, après concertation entre les États membres concernés, dès qu’il est matériellement possible et, au plus tard, dans un délai de six mois à compter de l’acceptation par un autre État membre de la requête aux fins de prise en charge ou de reprise en charge de la personne concernée ou de la décision définitive sur le recours ou la révision lorsque l’effet suspensif est accordé conformément à l’article 27 par. 3. Aux termes de l’art. 29 par. 2 du règlement Dublin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4.2 En l’espèce, le recourant ne peut tirer aucun argument de l’art. 29 par. 2 du règlement Dublin III. En effet, même à supposer que son transfert en [...] – ce qui peut rester indécis – n’est pas intervenu dans le délai de six mois prévu à l’art. 29 par. 1 dudit règlement, ce délai peut de toute manière être porté à un an, en application de l’art. 29 par. 2, dès lors que l’exécution du renvoi a été temporairement empêchée par la détention du recourant subie du 22 avril au 30 novembre 2023. Pour le surplus, aucun élément du dossier ne permet de retenir que le renvoi ne pourra pas avoir lieu d’ici au 12 janvier 2024, le SPOP ayant indiqué, dans ses déterminations, qu’un vol était prévu à brève échéance, ce qui implique nécessairement que la [...] n’a pas fait obstacle au retour du recourant sur son territoire.</w:t>
      </w:r>
    </w:p>
    <w:p>
      <w:r>
        <w:rPr>
          <w:b/>
        </w:rPr>
        <w:t>E. 5</w:t>
      </w:r>
    </w:p>
    <w:p>
      <w:r>
        <w:t>En définitive, le recours de E.________ doit être rejeté et l’ordonnance entreprise confirmée. Compte tenu de la nature de l’affaire et de l’acte de recours déposé, l’indemnité allouée à Me Violeta Rexhepi, conseil d’office, pour la procédure de recours sera fixée à 450 fr., correspondant à une activité nécessaire d’avocat de 2h30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9 fr., et la TVA au taux de 7,7 %, par 35 fr. 35, soit à 495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w:t>
      </w:r>
    </w:p>
    <w:p>
      <w:r>
        <w:rPr>
          <w:b/>
        </w:rPr>
        <w:t>E. 6</w:t>
      </w:r>
    </w:p>
    <w:p>
      <w:r>
        <w:t>LVLEI ; CREP 18 décembre 2023/1014 consid. 3). Par ces motifs, la Chambre des recours pénale prononce : I. Le recours est rejeté. II. L’ordonnance du 8 décembre 2023 est confirmée. III. L'indemnité allouée à Me Violeta Rexhepi, conseil d’office de E.________, est fixée à 495 fr. (quatre cent nonante-cinq francs). IV. E.________ sera tenu au remboursement de l’indemnité due à son conseil d’office, mise provisoirement à la charge de l’Etat, dès qu’il sera en mesure de le faire. V. L’arrêt, rendu sans frais, est exécutoire. La présidente :               Le greffier : Du Le présent arrêt, dont la rédaction a été approuvée à huis clos, est notifié, par l'envoi d'une copie complète, à : - Me Violeta Rexhepi, avocate (pour E.________), - Service de la population, secteur départs et mesures,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