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103/2009/DCA vom 13. Juli 2009</w:t>
      </w:r>
    </w:p>
    <w:p>
      <w:r>
        <w:t>VD Tribunal cantonal, 2009-07-13, FR</w:t>
      </w:r>
    </w:p>
    <w:p>
      <w:r>
        <w:rPr>
          <w:b/>
        </w:rPr>
        <w:t xml:space="preserve">Quelle: </w:t>
      </w:r>
      <w:r>
        <w:t>https://mcp.opencaselaw.ch/entscheid/vd_findinfo_103_2009_DCA</w:t>
      </w:r>
    </w:p>
    <w:p>
      <w:r>
        <w:t>FR: VD_FINDINFO 103/2009/DCA du 13 juillet 2009</w:t>
      </w:r>
    </w:p>
    <w:p>
      <w:r>
        <w:t>IT: VD_FINDINFO 103/2009/DCA del 13 luglio 2009</w:t>
      </w:r>
    </w:p>
    <w:p>
      <w:pPr>
        <w:pStyle w:val="Heading2"/>
      </w:pPr>
      <w:r>
        <w:t>Regeste</w:t>
      </w:r>
    </w:p>
    <w:p>
      <w:r>
        <w:t>CONCURRENCE DÉLOYALE, MESURE PROVISIONNELLE, MANDAT, CONTRAT D'ENTREPRISE | 28c al. 2 CC, 101 CPC, 14 LCD, 2 LCD, 5 LCD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décembre 1966; RSV 270.11) , des mesures provisionnelles peuvent être ordonnées en tout état de cause, même avant l'ouverture d'action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