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1039 vom 18. Dezember 2023</w:t>
      </w:r>
    </w:p>
    <w:p>
      <w:r>
        <w:t>VD Tribunal cantonal, 2023-12-18, FR</w:t>
      </w:r>
    </w:p>
    <w:p>
      <w:r>
        <w:rPr>
          <w:b/>
        </w:rPr>
        <w:t xml:space="preserve">Quelle: </w:t>
      </w:r>
      <w:r>
        <w:t>https://mcp.opencaselaw.ch/entscheid/vd_findinfo_1039___________</w:t>
      </w:r>
    </w:p>
    <w:p>
      <w:r>
        <w:t>FR: VD_FINDINFO 1039 du 18 décembre 2023</w:t>
      </w:r>
    </w:p>
    <w:p>
      <w:r>
        <w:t>IT: VD_FINDINFO 1039 del 18 dicembre 2023</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son arrêt du 1 er juillet 2022, la Cour de céans a considéré que l’ordonnance pénale en cause condamnait une personne dont l’identité était inconnue. Cette ordonnance pénale se limitait en effet à donner un numéro de matricule, un surnom et un numéro relatif à la banque de données de la Confédération sur les empreintes digitales, qui ne permettaient pas d’identifier à elles seules la personne visée. Or, les données signalétiques biométriques saisies avaient pour but d’établir l’identité d’une personne dans le cadre de la procédure préliminaire, mais étaient insuffisantes pour constituer une identité en l’absence de comparaison avec d’autres données, notamment les noms, prénoms, date de naissance, sexe, lieu d’origine, lieu de naissance, nationalité, noms des parents, nom d’emprunt, etc. Faute de contenir des éléments d’identité permettant d’individualiser la prévenue sans aucune confusion possible, la nullité de l’ordonnance entreprise devait être constatée.</w:t>
      </w:r>
    </w:p>
    <w:p>
      <w:r>
        <w:rPr>
          <w:b/>
        </w:rPr>
        <w:t>E. 2.2</w:t>
      </w:r>
    </w:p>
    <w:p>
      <w:r>
        <w:t>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Se référant à cette jurisprudence, dans son arrêt du 23 août 2023, le Tribunal fédéral a considéré qu'une ordonnance pénale comportant une désignation générique analogue à celle retenue dans le cas de G.________ ne pouvait pas être qualifiée de nulle.</w:t>
      </w:r>
    </w:p>
    <w:p>
      <w:r>
        <w:rPr>
          <w:b/>
        </w:rPr>
        <w:t>E. 2.3</w:t>
      </w:r>
    </w:p>
    <w:p>
      <w:r>
        <w:t>En l’espèce, en vertu de l’autorité de renvoi de l’arrêt du Tribunal fédéral, force est de constater que la Cour de céans ne pouvait pas constater la nullité de l’ordonnance pénale rendue le 31 mars 2021 contre « [...], de sorte que le recours interjeté le 25 novembre 2021 par G.________ doit être admis sur ce point.</w:t>
      </w:r>
    </w:p>
    <w:p>
      <w:r>
        <w:rPr>
          <w:b/>
        </w:rPr>
        <w:t>E. 2.4</w:t>
      </w:r>
    </w:p>
    <w:p>
      <w:r>
        <w:t>Dans son arrêt du 1 er juillet 2023, la Cour de céans s’est dispensée d’examiner les autres griefs invoqués par le recourant, portant sur la validité de la procuration notamment, et a considéré que l’opposition formée le 12 avril 2021 contre l’ordonnance pénale en cause était sans objet compte tenu de la nullité de dite ordonnance. Dans d’autres causes s’inscrivant dans des circonstances parfaitement analogues au cas d’espèce (cf. TF 6B_429/2022 et 6B_436/2022 du 23 août 2023 consid. 7), toujours en se fondant sur sa jurisprudence publiée aux ATF 149 IV 9, le Tribunal fédéral a jugé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 côté,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Il s’ensuit que le tribunal de police ne pouvait pas considérer que l’opposition à l’ordonnance pénale était irrecevable, à tout le moins au motif que la procuration produite ne permettait pas d’identifier son auteur, qui y était désigné comme dans l’ordonnance pénale.</w:t>
      </w:r>
    </w:p>
    <w:p>
      <w:r>
        <w:rPr>
          <w:b/>
        </w:rPr>
        <w:t>E. 3</w:t>
      </w:r>
    </w:p>
    <w:p>
      <w:r>
        <w:t>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990 fr. (art. 20 al. 1 TFIP [Tarif des frais de procédure et indemnités en matière pénale du 28 septembre 2010 ; BLV 312.03.1]), seront laissés à la charge de l’Etat. Le recourant, qui obtient gain de cause et qui a procédé avec l’assistance d’un avocat de choix, a droit à une indemnité pour les dépenses occasionnées par l’exercice raisonnable de ses droits de procédure. Pour la procédure de recours antérieure à l’arrêt du Tribunal fédéral, G.________ avait obtenu une indemnité de 1'648 fr., correspondant à 5 heures d’activité d’avocat au tarif horaire de 300 fr., TVA et débours en sus, à la charge de l’Etat. Cette indemnité était justifiée et n’est pas contestée. L’activité déployée par l’avocat depuis la reddition de l’arrêt du Tribunal fédéral, soit 1 heure au total, doit également être indemnisée, mais au tarif horaire de 300 fr., le tarif de 400 fr. étant trop élevé au regard de la complexité de la cause (cf. art. 26a al. 3 TFIP). C’est ainsi une indemnité de 1'800 fr., correspondant à 6 heures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36 fr., plus la TVA au taux de 7,7 %, par 141 fr. 40, soit 1’978 fr. au total en chiffres arrondis, qui sera allouée à G.________ pour les procédures antérieure et ultérieure à l’arrêt du Tribunal fédéral, à la charge de l’Etat.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990 fr. (neuf cent nonante francs), sont laissés à la charge de l’Etat. V. Une indemnité de 1’978 fr. (mille neuf cent septante-huit francs) est allouée à G.________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Raphaël Jakob, avocat (pour G.________), - Ministère public central, et communiqué à : ‑ M. le Président du Tribunal de police de l’arrondissement de La Côte,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