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06/2014/FAB vom 24. Januar 2014</w:t>
      </w:r>
    </w:p>
    <w:p>
      <w:r>
        <w:t>VD Tribunal cantonal, 2014-01-24, FR</w:t>
      </w:r>
    </w:p>
    <w:p>
      <w:r>
        <w:rPr>
          <w:b/>
        </w:rPr>
        <w:t xml:space="preserve">Quelle: </w:t>
      </w:r>
      <w:r>
        <w:t>https://mcp.opencaselaw.ch/entscheid/vd_findinfo_06_2014_FAB</w:t>
      </w:r>
    </w:p>
    <w:p>
      <w:r>
        <w:t>FR: VD_FINDINFO 06/2014/FAB du 24 janvier 2014</w:t>
      </w:r>
    </w:p>
    <w:p>
      <w:r>
        <w:t>IT: VD_FINDINFO 06/2014/FAB del 24 gennaio 2014</w:t>
      </w:r>
    </w:p>
    <w:p>
      <w:pPr>
        <w:pStyle w:val="Heading2"/>
      </w:pPr>
      <w:r>
        <w:t>Regeste</w:t>
      </w:r>
    </w:p>
    <w:p>
      <w:r>
        <w:t>CAPACITÉ D'ÊTRE PARTIE, PARTIE À LA PROCÉDURE, LÉGITIMATION ACTIVE ET PASSIVE, ABUS DE DROIT | 139 CPC, 64 CPC, 92 CPC</w:t>
      </w:r>
    </w:p>
    <w:p>
      <w:pPr>
        <w:pStyle w:val="Heading2"/>
      </w:pPr>
      <w:r>
        <w:t>Erwägungen</w:t>
      </w:r>
    </w:p>
    <w:p>
      <w:r>
        <w:rPr>
          <w:b/>
        </w:rPr>
        <w:t>E. 3</w:t>
      </w:r>
    </w:p>
    <w:p>
      <w:r>
        <w:t>ad art. 138 CPC-VD, p. 259, et n. 1 ad art. 62 CPC-VD, pp. 113-114; Hohl, op. cit., n. 451, p. 100). Un procès ne pouvant se lier valablement qu’entre personnes juridiquement existantes, la qualité de partie est dès lors une condition de validité de l’instance, dont le défaut permet de soulever une exception de procédure tendant à l’invalidation d’instance (art. 138 CPV-VD ; Bonnard, thèse, pp. 107 et 109 ). En outre, comme seul un sujet de droit peut être sujet actif ou passif du rapport de droit litigieux, l’inexistence d’une partie peut constituer à la fois un moyen de procédure, qui doit être invoqué par une exception de procédure, et un moyen de fond (défaut de légitimation), que le juge doit retenir d’office et qui doit être tranché dans le jugement au fond (JT 1966 III 114 ; JT 1980 III 3 Poudret/Haldy/Tappy, op. cit., n. 1 ad art. 62 CPC-VD, p. 115 et les références et n. 3 ad art. 138 CPC-VD, p. 259 ; ATF 125 III 82 c. 1a et l’arrêt cité; ATF 114 II 345 c. 3d; ATF 108 II 216 c. 1 et les références). Lorsque le défendeur ne fait valoir le moyen tiré de l’inexistence d’une partie que dans la procédure au fond, le juge ne peut prononcer l’éconduction d’instance, mais doit tenir compte de cette objection dans son jugement sur le fond (JT 1966 III 114 ; Poudret/Haldy/Tappy, op. cit., n. 3 ad art. 138 CPC-VD). bb) Selon l’exposé des motifs du CPC-VD, le défaut de qualité de partie constitue une irrégularité irréparable (BGC [Bulletin du Grand Conseil] 1966 p. 711 ss). Il convient dès lors de distinguer la partie inexistante – qui par définition ne jouit pas des droits civils et ne peut ainsi pas ester en justice au sens de l’art. 62 CPC-VD – de la partie inexactement ou incomplètement désignée, qui entre dans les prévisions de l’art. 139 let. a CPC-VD. L'art. 139 let. a CPC-VD ne peut dès lors être invoqué en cas d'inexistence d'une partie, même en l'absence de toute équivoque. La possibilité de corriger un vice en cours de procédure n'apparaît ainsi en principe pas ouverte en cas de citation d'une partie inexistante (Poudret/Haldy/Tappy, op. cit., n. 1 ad art. 139 CPC-VD, p. 260 ; CACI 5 avril 2013/190 ; CACI 24 janvier 2012/42 ; CREC I 15 février 2011/95). La possibilité d’une correction de la partie désignée peut aussi être appréhendée sous l’angle de l’abus de droit (l’hypothèse réservée par Poudret/Haldy/Tappy, op. cit., n. 1 ad art. 139 CPC-VD p. 260) et du formalisme excessif. Aux termes de l'art. 2 CC, chacun est tenu d'exercer ses droits selon les règles de la bonne foi (al. 1) et l'abus manifeste d'un droit n'est pas protégé par la loi (al. 2). Ces principes régissent non seulement le droit civil fédéral mais aussi le droit de procédure civile. Dans le domaine de la procédure, l'interdiction de l'abus de droit peut être rapprochée de l'interdiction du formalisme excessif. Celle-ci appartient au droit constitutionnel fédéral et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(TF 4C.353/2004 du 29 décembre 2004 c. 3.1; ATF 132 I 249 c. 5, SJ 2007 I 85; ATF 130 V 177 c. 5.4.1 p. 183; ATF 128 II 139 c. 2a p. 142). La Cour d’appel civile a admis l’application de ce principe notamment dans une affaire qui concernait l’Hôpital Intercantonal de La Broye. Attaqué en paiement de diverses sommes, cet hôpital avait excipé qu’il n’avait pas la personnalité juridique, si bien que la demande devait être déclarée irrecevable pour ce motif. La cour cantonale a considéré que l’Hôpital Intercantonal de La Broye était une société simple constituée de deux associations et qu’en tant que tel il n’avait pas la personnalité juridique. Elle a toutefois relevé que cet hôpital avait constamment entretenu la confusion et l’opacité sur son absence de personnalité juridique - au vu du contrat de travail et des documents signés ou établis par lui en qualité d’employeur - et qu’un tel comportement de la part d’un employeur remplissant des obligations de droit public apparaissait clairement abusif. Elle a jugé qu’admettre l’exception d’irrecevabilité en faisant une application stricte de l’art. 59 al. 2 let. c CPC aurait été constitutif de formalisme excessif dans ce cas d’espèce et a décidé qu’un délai devait être accordé à la partie adverse pour réctifier la désignation de sa partie adverse (CACI 5 avril 2013/190). cc) La condamnation d’une personne qui n’a pas été mise en cause personnellement par l’exploit d’ouverture d’action, soit une personne qui n’est pas partie au procès, est une cause d’annulation, voire de nullité absolue du jugement (JT 1968 III 76, JT 1992 III 73, CREC 23 mars 2011/130). Le juge qui condamne une personne alors qu’aucune conclusion n’a été prise contre elle statue ultra petita (art. 3 CPC-VD ; JT 1992 III 73 c. 2b). b) En l’espèce, le demandeur a déposé une demande à l’encontre de la Fondation J.________. La réponse et la réplique ont également été déposées au nom, respectivement contre, cette fondation. En revanche, la duplique déposée le 23 juin 2008 par Me Misteli l’a été au nom de la Fondation C.________. L’instruction a révélé que la Fondation J.________ a existé du 7 janvier 1998 au 5 septembre 2006. La Fondation C.________ existe en revanche depuis le 16 janvier 2004, donc avant la disparition de la Fondation J.________. Les organes de deux entités étaient différents : un conseil de trente-trois membres avec un comité exécutif d’un côté, et un conseil de vingt-trois membres au maximum de l’autre. Il en résulte que les noms de Fondation J.________ et Fondation C.________ se réfèrent à deux entités juridiques distinctes, qui ont existé conjointement durant une certaine période. Il en découle également que la Fondation J.________, partie désignée dans la demande, n’avait plus d’existence juridique à la date de l’ouverture d’action, le 19 juillet 2007. On ne saurait considérer qu’en déposant sa demande contre Fondation J.________, le demandeur a inexactement désigné Fondation C.________. A juste titre, celui-ci n’a pas plaidé la désignation inexacte de partie. Au contraire, il a tenté de soutenir que le nom de la défenderesse était tantôt Fondation J.________, tantôt Fondation C.________, mais que les deux noms se référaient en réalité à une seule entité. Pour le demandeur, la cour de céans ne dispose d’aucun élément au dossier pour retenir que la Fondation J.________ était une entité distincte de la Fondation C.________. Tout en admettant que cette distinction résulte des extraits du registre du commerce, le demandeur a soutenu qu’il s’agissait d’un fait non notoire. Or, comme précédemment relevé (cf. consid. II ci-dessus), les faits qui résultent des extraits du registre du commerce disponibles sur internet sont notoires. La cour de céans est dès lors en droit de retenir d’office, sur la base des extraits accessibles à chacun – et en particulier au conseil du demandeur –, que la Fondation J.________ était une entité distincte de la Fondation C.________. On peut au demeurant exclure que le demandeur ait simplement mal désigné la Fondation C.________, puisque c’était avec la Fondation J.________ qu’il avait conclu le contrat de travail, à l’époque où les deux entités coexistaient. Il n’a pas allégué ni établi que ce contrat aurait été repris d’une manière ou d’une autre par la Fondation C.________ ou par une autre entité. Il n’est pas non plus allégué ni établi que les actes de la Fondation J.________, à l’époque où elle existait, se confondaient avec ceux de la Fondation C.________, et inversément. Le demandeur a ainsi voulu rechercher en justice son partenaire contractuel, qu’il a correctement désigné. Or, ce partenaire n’existait plus à la date de l’ouverture d’action. Le demandeur a donc déposé une demande et ouvert action contre une partie inexistante. Ses conclusions doivent ainsi être rejetées, faute de légitimation passive. C’est en vain que le demandeur invoque l’abus de droit. Tout d’abord, il ne saurait y avoir de formalisme excessif à exiger de la partie – et en particulier de son mandataire professionnel – qu’elle vérifie, lorsqu’elle ouvre action, notamment la raison sociale et le siège de sa partie adverse ainsi que les personnes habilitées à la représenter, par la production d’un extrait récent du registre du commerce. En l’espèce, cette opération élémentaire aurait aisément permis au demandeur, qui était assisté, de constater que son ancien employeur n’avait plus d’existence juridique depuis plus de huit mois. Ce faisant, il aurait été en mesure d’actionner l’entité juridique qui avait repris les droits litigieux – s’il y en avait une, ce que la cour de céans ignore – ou de solliciter la réinscription de la défenderesse au registre du commerce. Au surplus, il n’existe pas de circonstances qui permettent de considérer que, ab initio, l’action était dirigée contre une (autre) partie qui aurait – par hypothèse – été titulaire des droits litigieux. A cet égard, la présente espèce se distingue clairement de celle de l’Hôpital Intercantonal de La Broye : dans ce dernier cas, l’Hôpital Intercantonal de La Broye qui avait conclu le contrat de travail n’avait pas la personnalité juridique et avait entretenu une confusion sur cette existence juridique. Dans le cas d’espèce en revanche, la Fondation J.________ contre laquelle le demandeur a agi a bel et bien existé et il n’est pas établi - ni même allégué – qu’elle ait entretenu une confusion sur son existence juridique ou sur son statut d’employeur avec une autre entité. Quant au fait que la Fondation C.________ n’a pas invoqué plus tôt l’inexistence de la partie défenderesse, on ne saurait non plus y voir un abus de droit. D’une part, il est douteux qu’une entité non partie à un procès ait des devoirs procéduraux. D’autre part, à supposer que tel soit le cas, il faudrait constater en l’espèce que rien ne permet de dire que la Fondation C.________ s’est rendue compte plus tôt de l’inexistence de la défenderesse, et s’est abstenue sciemment de soulever ce moyen. Enfin, de toute manière, si l’on peut attendre d’une partie qu’elle fasse sans tarder valoir les vices entachant la procédure (par exemple solliciter une récusation), il n’en va pas de même des moyens de fond dans un procès civil. Au demeurant, même si la Fondation C.________ n’avait pas procédé, la cour de céans aurait de toute manière retenu l’inexistence de la partie défenderesse, sur la base des faits notoires, dès lors que dans une procédure au fond, l’inexistence d’une partie est un moyen de fond, qui est examiné d’office. Le demandeur soutient enfin qu’en procédant sous deux noms différents – dans la réponse et dans la duplique – et qu’en prenant part aux mesures d’instruction, la Fondation C.________ a semé la confusion en violation des règles de la bonne foi. Elle devrait en emporter la responsabilité et un jugement devrait être rendu contre elle. Toutefois, on ne saurait considérer que la Fondation C.________ a induit le demandeur en erreur. Comme déjà dit, il apparaît au contraire que ce dernier s’est trompé en se fondant sur un extrait périmé du registre du commerce, qu’il a produit sous pièce 2. Cette erreur eût été évitée si, à la date de l’ouverture d’action, le demandeur s’était procuré d’un extrait du registre du commerce à jour, lequel lui aurait permis de conclure que la partie qu’il souhaitait attaquer n’existait plus, car radiée. Dans ces conditions, le demandeur ne saurait se défausser sur la Fondation C.________. En tout état de cause, le fait qu’en cours de procès, une duplique et des pièces ont été déposées au nom ou par la Fondation C.________ ne suffit pas à considérer que cette fondation est partie au procès, ni qu’elle a la légitimation passive. D’une part, aucune conclusion valable n’a été prise contre cette entité, la conclusion prise dans le mémoire de droit du demandeur étant irrecevable. D’autre part, il n’est pas établi – ni même allégué – qu’à un moment ou un autre une relation contractuelle, sur laquelle pourrait se fonder les prétentions litigieuses, a existé entre le demandeur et la Fondation C.________. Il n’est pas contesté que le demandeur et la Fondation J.________ ont été liés par un contrat de travail. Il n’est cependant pas allégué, ni a fortiori établi, qu’après la radiation de la Fondation J.________ du registre du commerce le 5 septembre 2006, c’est la Fondation C.________ qui a succédé à ses droits et obligations, à tout le moins temporellement. Dans sa plaidoirie, le demandeur a déclaré qu’il lui semblait qu’« il existait quelque part un acte de reprise de la Fondation J.________ par la Fondation C.________ ». Une telle reprise n’a toutefois pas été alléguée. Elle ne ressort pas non plus de l’extrait du registre du commerce . Même à supposer qu’une reprise de la Fondation J.________ par la Fondation C.________ ait eu lieu, il faudrait encore démontrer que les rapports de travail ont passé à cette dernière. Enfin, une substitution de parties en cours de procès, au sens de l’art. 64 CPC-VD, n’est pas non plus soutenable. Une telle substitution aurait en particulier supposé, d’une part, que la Fondation J.________ soit titulaire des droits litigieux à l’ouverture du procès - ce qui n’est pas le cas, puisqu’elle n’existait plus -, et d’autre part, que la Fondation C.________ succède à ces droits en cours de procès, ce qui n’est pas allégué, ni a fortiori établi, ni possible vu l’absence de titularité des droits à la date d’ouverture d’action. c) En définitive, l’action a été ouverte contre une partie inexistante, sans qu’il soit établi – ni même allégué – qu’il y ait eu une succession ou substitution de partie. Cette conclusion entraîne le rejet des prétentions du demandeur, y compris constatatoire, sans qu’il soit nécessaire d’examiner leur bien-fondé. Pour ce qui est de la conclusion en constatation de droit pour le dommage prétendumment subi postérieurement au 30 juin 2012, l’intérêt à cet action fait défaut. La partie défenderesse n’existant pas, le demandeur ne pourra ultérieurement ouvrir une action condamnatoire contre cette partie. D’autre part, un jugement constatatoire dans la cause divisant le demandeur d’avec la Fondation J.________ ne pourrait ultérieurement être opposé à la Fondation C.________, étant donné qu’il n’est pas démontré – ni même allégué – que la Fondation C.________ a succédé à la Fondation J.________. En effet, l'effet « inter partes » de l'autorité de la chose jugée ne s'étend qu’aux successeurs à titre universel des parties, lesquels peuvent donc se prévaloir de l'autorité de la chose jugée dont est revêtu le jugement en force ou se la voir opposer (ATF 125 III 8 c. 3a; TF 5A_763/2012 du 18 mars 2013 c. 5.1.2; TF 4A_ 545/2013 du 28 novembre 2013 c. 3.2.1 ; TF 4A_545/2013 du 28 novembre 2013 c. 3.2.1, SJ 2014 I 221). V. Selon l’art. 92 CPC-VD, les dépens sont alloués à la partie qui a obtenu l’adjudication de ses conclusions (al. 1). En l’occurrence, le demandeur perd son procès, car il l’a ouvert contre la Fondation J.________, partie inexistante. Il n’a donc pas droit à des dépens. Cette dernière fondation ne peut pas non plus obtenir de dépens, puisqu’elle n’existait pas à la date de l’ouverture d’action. Quant à la Fondation C.________, si elle a participé ouvertement à la procédure à la place de la Fondation J.________, cette circonstance ne suffit pas à lui allouer les dépens ni à les mettre à sa charge, puisque, comme on vient de le voir, elle n’est pas partie à la présente procédure. Il s’ensuit qu’il n’est pas alloué de dépens. D’après le Tribunal fédéral, quand une entité se présente faussement comme une partie, et fait une avance de frais au nom d’une partie inexistante, il est possible à l’Etat de conserver ces frais (ATF 128 III 191 c. 6b et les références citées). En l’espèce, les frais de la partie défenderesse inexistante s’élèvent à 21'402 fr. 50. Pour les motifs déjà exposés, il n’est pas possible de les mettre formellement à sa charge. Toutefois, l’entité qui a procédé à la place de la partie inexistante a – selon toute vraisemblance – effectué des avances de frais et, ce faisant, prolongé d’autant la procédure qui, dans le cas contraire, se serait interrompue plus tôt. Dans ces conditions, il convient de conserver à l’Etat les avances qu’elle a faites.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