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24 vom 20. Januar 1999</w:t>
      </w:r>
    </w:p>
    <w:p>
      <w:r>
        <w:t>UR Obergericht, 1999-01-20, DE</w:t>
      </w:r>
    </w:p>
    <w:p>
      <w:r>
        <w:rPr>
          <w:b/>
        </w:rPr>
        <w:t xml:space="preserve">Quelle: </w:t>
      </w:r>
      <w:r>
        <w:t>https://mcp.opencaselaw.ch/entscheid/ur_gerichte_98_99_24</w:t>
      </w:r>
    </w:p>
    <w:p>
      <w:r>
        <w:t>FR: UR_GERICHTE 98/99 24 du 20 janvier 1999</w:t>
      </w:r>
    </w:p>
    <w:p>
      <w:r>
        <w:t>IT: UR_GERICHTE 98/99 24 del 20 gennaio 1999</w:t>
      </w:r>
    </w:p>
    <w:p>
      <w:pPr>
        <w:pStyle w:val="Heading2"/>
      </w:pPr>
      <w:r>
        <w:t>Regeste</w:t>
      </w:r>
    </w:p>
    <w:p>
      <w:r>
        <w:t>Kantonale direkte Steuern. Art. 22 Abs. 1, Art. 161 ff. StG. | Kantonale direkte Steuern. Art. 22 Abs. 1, Art. 161 ff. StG. Selbstständige Nebenerwerbstätigkeit als "Heilmagnetopath". Pflicht zur Einkommensversteuerung. Mitwirkungspflichten des Steuerpflichtigen im Veranlagungsverfahren. Unsicherheit des Sachverhaltes. Ermessenseinschätzung. Gerichtliche Überprüfung. Materielle Beweislast.</w:t>
      </w:r>
    </w:p>
    <w:p>
      <w:pPr>
        <w:pStyle w:val="Heading2"/>
      </w:pPr>
      <w:r>
        <w:t>Volltext</w:t>
      </w:r>
    </w:p>
    <w:p>
      <w:r>
        <w:t>Uri Rechenschaftsbericht über die Rechtspflege 20.01.1999 98/99 24 Uri Rechenschaftsbericht über die Rechtspflege 20.01.1999 98/99 24 Uri Rechenschaftsbericht über die Rechtspflege 20.01.1999 98/99 24</w:t>
      </w:r>
    </w:p>
    <w:p>
      <w:r>
        <w:t>Kantonale direkte Steuern. Art. 22 Abs. 1, Art. 161 ff. StG. | Kantonale direkte Steuern. Art. 22 Abs. 1, Art. 161 ff. StG. Selbstständige Nebenerwerbstätigkeit als "Heilmagnetopath". Pflicht zur Einkommensversteuerung. Mitwirkungspflichten des Steuerpflichtigen im Veranlagungsverfahren. Unsicherheit des Sachverhaltes. Ermessenseinschätzung. Gerichtliche Überprüfung. Materielle Beweislast.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