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19 vom 12. Juni 1998</w:t>
      </w:r>
    </w:p>
    <w:p>
      <w:r>
        <w:t>UR Obergericht, 1998-06-12, DE</w:t>
      </w:r>
    </w:p>
    <w:p>
      <w:r>
        <w:rPr>
          <w:b/>
        </w:rPr>
        <w:t xml:space="preserve">Quelle: </w:t>
      </w:r>
      <w:r>
        <w:t>https://mcp.opencaselaw.ch/entscheid/ur_gerichte_98_99_19</w:t>
      </w:r>
    </w:p>
    <w:p>
      <w:r>
        <w:t>FR: UR_GERICHTE 98/99 19 du 12 juin 1998</w:t>
      </w:r>
    </w:p>
    <w:p>
      <w:r>
        <w:t>IT: UR_GERICHTE 98/99 19 del 12 giugno 1998</w:t>
      </w:r>
    </w:p>
    <w:p>
      <w:pPr>
        <w:pStyle w:val="Heading2"/>
      </w:pPr>
      <w:r>
        <w:t>Regeste</w:t>
      </w:r>
    </w:p>
    <w:p>
      <w:r>
        <w:t>Kantonales Verfahrensrecht. Art. 64 i.V.m. Art. 46 Abs. 1 lit. a VRPV. | Kantonales Verfahrensrecht. Art. 64 i.V.m. Art. 46 Abs. 1 lit. a VRPV. Verwaltungsgerichtsbeschwerde. Beschwerdelegitimation. Aktuelles praktisches tatsächliches Interesse genügt. Anwendungsfall.</w:t>
      </w:r>
    </w:p>
    <w:p>
      <w:pPr>
        <w:pStyle w:val="Heading2"/>
      </w:pPr>
      <w:r>
        <w:t>Volltext</w:t>
      </w:r>
    </w:p>
    <w:p>
      <w:r>
        <w:t>Uri Rechenschaftsbericht über die Rechtspflege 12.06.1998 98/99 19 Uri Rechenschaftsbericht über die Rechtspflege 12.06.1998 98/99 19 Uri Rechenschaftsbericht über die Rechtspflege 12.06.1998 98/99 19</w:t>
      </w:r>
    </w:p>
    <w:p>
      <w:r>
        <w:t>Kantonales Verfahrensrecht. Art. 64 i.V.m. Art. 46 Abs. 1 lit. a VRPV. | Kantonales Verfahrensrecht. Art. 64 i.V.m. Art. 46 Abs. 1 lit. a VRPV. Verwaltungsgerichtsbeschwerde. Beschwerdelegitimation. Aktuelles praktisches tatsächliches Interesse genügt. Anwendungsfall.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