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18 vom 30. April 1999</w:t>
      </w:r>
    </w:p>
    <w:p>
      <w:r>
        <w:t>UR Obergericht, 1999-04-30, DE</w:t>
      </w:r>
    </w:p>
    <w:p>
      <w:r>
        <w:rPr>
          <w:b/>
        </w:rPr>
        <w:t xml:space="preserve">Quelle: </w:t>
      </w:r>
      <w:r>
        <w:t>https://mcp.opencaselaw.ch/entscheid/ur_gerichte_98_99_18</w:t>
      </w:r>
    </w:p>
    <w:p>
      <w:r>
        <w:t>FR: UR_GERICHTE 98/99 18 du 30 avril 1999</w:t>
      </w:r>
    </w:p>
    <w:p>
      <w:r>
        <w:t>IT: UR_GERICHTE 98/99 18 del 30 aprile 1999</w:t>
      </w:r>
    </w:p>
    <w:p>
      <w:pPr>
        <w:pStyle w:val="Heading2"/>
      </w:pPr>
      <w:r>
        <w:t>Regeste</w:t>
      </w:r>
    </w:p>
    <w:p>
      <w:r>
        <w:t>Kantonales Verfahrensrecht. Art. 42, Art. 46 Abs. 1 lit. a VRPV. | Kantonales Verfahrensrecht. Art. 42, Art. 46 Abs. 1 lit. a VRPV. Verwaltungsbeschwerde. Beschwerdelegitimation. Aktuelles praktisches tatsächliches Interesse genügt. Besondere Beziehungsnähe. Diese muss bei Bauprojekten insbesondere in räumlicher Hinsicht gegeben sein. Die Einsprachelegitimation im Baubewilligungsverfahren bestimmt sich nach den gleichen Kriterien.</w:t>
      </w:r>
    </w:p>
    <w:p>
      <w:pPr>
        <w:pStyle w:val="Heading2"/>
      </w:pPr>
      <w:r>
        <w:t>Volltext</w:t>
      </w:r>
    </w:p>
    <w:p>
      <w:r>
        <w:t>Uri Rechenschaftsbericht über die Rechtspflege 30.04.1999 98/99 18 Uri Rechenschaftsbericht über die Rechtspflege 30.04.1999 98/99 18 Uri Rechenschaftsbericht über die Rechtspflege 30.04.1999 98/99 18</w:t>
      </w:r>
    </w:p>
    <w:p>
      <w:r>
        <w:t>Kantonales Verfahrensrecht. Art. 42, Art. 46 Abs. 1 lit. a VRPV. | Kantonales Verfahrensrecht. Art. 42, Art. 46 Abs. 1 lit. a VRPV. Verwaltungsbeschwerde. Beschwerdelegitimation. Aktuelles praktisches tatsächliches Interesse genügt. Besondere Beziehungsnähe. Diese muss bei Bauprojekten insbesondere in räumlicher Hinsicht gegeben sein. Die Einsprachelegitimation im Baubewilligungsverfahren bestimmt sich nach den gleichen Kriterien.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