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15 vom 4. Dezember 1997</w:t>
      </w:r>
    </w:p>
    <w:p>
      <w:r>
        <w:t>UR Obergericht, 1997-12-04, DE</w:t>
      </w:r>
    </w:p>
    <w:p>
      <w:r>
        <w:rPr>
          <w:b/>
        </w:rPr>
        <w:t xml:space="preserve">Quelle: </w:t>
      </w:r>
      <w:r>
        <w:t>https://mcp.opencaselaw.ch/entscheid/ur_gerichte_98_99_15</w:t>
      </w:r>
    </w:p>
    <w:p>
      <w:r>
        <w:t>FR: UR_GERICHTE 98/99 15 du 4 décembre 1997</w:t>
      </w:r>
    </w:p>
    <w:p>
      <w:r>
        <w:t>IT: UR_GERICHTE 98/99 15 del 4 dicembre 1997</w:t>
      </w:r>
    </w:p>
    <w:p>
      <w:pPr>
        <w:pStyle w:val="Heading2"/>
      </w:pPr>
      <w:r>
        <w:t>Regeste</w:t>
      </w:r>
    </w:p>
    <w:p>
      <w:r>
        <w:t>Strassenverkehrsrecht. Art. 55, Art. 91 Abs. 1 SVG. Art. 2 Abs. 2 VRV. Art. 138 VZV. | Strassenverkehrsrecht. Art. 55, Art. 91 Abs. 1 SVG. Art. 2 Abs. 2 VRV. Art. 138 VZV. Fahren in angetrunkenem Zustand. Atemlufttest als Beweismittel.</w:t>
      </w:r>
    </w:p>
    <w:p>
      <w:pPr>
        <w:pStyle w:val="Heading2"/>
      </w:pPr>
      <w:r>
        <w:t>Volltext</w:t>
      </w:r>
    </w:p>
    <w:p>
      <w:r>
        <w:t>Uri Rechenschaftsbericht über die Rechtspflege 04.12.1997 98/99 15 Uri Rechenschaftsbericht über die Rechtspflege 04.12.1997 98/99 15 Uri Rechenschaftsbericht über die Rechtspflege 04.12.1997 98/99 15</w:t>
      </w:r>
    </w:p>
    <w:p>
      <w:r>
        <w:t>Strassenverkehrsrecht. Art. 55, Art. 91 Abs. 1 SVG. Art. 2 Abs. 2 VRV. Art. 138 VZV. | Strassenverkehrsrecht. Art. 55, Art. 91 Abs. 1 SVG. Art. 2 Abs. 2 VRV. Art. 138 VZV. Fahren in angetrunkenem Zustand. Atemlufttest als Beweismittel.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