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14 vom 10. Februar 1999</w:t>
      </w:r>
    </w:p>
    <w:p>
      <w:r>
        <w:t>UR Obergericht, 1999-02-10, DE</w:t>
      </w:r>
    </w:p>
    <w:p>
      <w:r>
        <w:rPr>
          <w:b/>
        </w:rPr>
        <w:t xml:space="preserve">Quelle: </w:t>
      </w:r>
      <w:r>
        <w:t>https://mcp.opencaselaw.ch/entscheid/ur_gerichte_98_99_14</w:t>
      </w:r>
    </w:p>
    <w:p>
      <w:r>
        <w:t>FR: UR_GERICHTE 98/99 14 du 10 février 1999</w:t>
      </w:r>
    </w:p>
    <w:p>
      <w:r>
        <w:t>IT: UR_GERICHTE 98/99 14 del 10 febbraio 1999</w:t>
      </w:r>
    </w:p>
    <w:p>
      <w:pPr>
        <w:pStyle w:val="Heading2"/>
      </w:pPr>
      <w:r>
        <w:t>Regeste</w:t>
      </w:r>
    </w:p>
    <w:p>
      <w:r>
        <w:t>Strafgesetzbuch. Art. 2 Abs. 2 StGB. | Strafgesetzbuch. Art. 2 Abs. 2 StGB. Lex mitior. Grundsätzliche Geltung der Regel im kantonalen Strafrecht. Änderung GWG. Anwendungsfall. Anwendung des milderen Rechts durch die letzte kantonale Instanz, wenn diese Sachrichter ist.</w:t>
      </w:r>
    </w:p>
    <w:p>
      <w:pPr>
        <w:pStyle w:val="Heading2"/>
      </w:pPr>
      <w:r>
        <w:t>Volltext</w:t>
      </w:r>
    </w:p>
    <w:p>
      <w:r>
        <w:t>Uri Rechenschaftsbericht über die Rechtspflege 10.02.1999 98/99 14 Uri Rechenschaftsbericht über die Rechtspflege 10.02.1999 98/99 14 Uri Rechenschaftsbericht über die Rechtspflege 10.02.1999 98/99 14</w:t>
      </w:r>
    </w:p>
    <w:p>
      <w:r>
        <w:t>Strafgesetzbuch. Art. 2 Abs. 2 StGB. | Strafgesetzbuch. Art. 2 Abs. 2 StGB. Lex mitior. Grundsätzliche Geltung der Regel im kantonalen Strafrecht. Änderung GWG. Anwendungsfall. Anwendung des milderen Rechts durch die letzte kantonale Instanz, wenn diese Sachrichter ist.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