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12 vom 20. Juli 1999</w:t>
      </w:r>
    </w:p>
    <w:p>
      <w:r>
        <w:t>UR Obergericht, 1999-07-20, DE</w:t>
      </w:r>
    </w:p>
    <w:p>
      <w:r>
        <w:rPr>
          <w:b/>
        </w:rPr>
        <w:t xml:space="preserve">Quelle: </w:t>
      </w:r>
      <w:r>
        <w:t>https://mcp.opencaselaw.ch/entscheid/ur_gerichte_98_99_12</w:t>
      </w:r>
    </w:p>
    <w:p>
      <w:r>
        <w:t>FR: UR_GERICHTE 98/99 12 du 20 juillet 1999</w:t>
      </w:r>
    </w:p>
    <w:p>
      <w:r>
        <w:t>IT: UR_GERICHTE 98/99 12 del 20 luglio 1999</w:t>
      </w:r>
    </w:p>
    <w:p>
      <w:pPr>
        <w:pStyle w:val="Heading2"/>
      </w:pPr>
      <w:r>
        <w:t>Regeste</w:t>
      </w:r>
    </w:p>
    <w:p>
      <w:r>
        <w:t>Strafprozessordnung. Art. 56 Abs. 1 StPO. | Strafprozessordnung. Art. 56 Abs. 1 StPO. Amtliche Verteidigung. Für das Rechtsmittelverfahren ist ein neues Gesuch erforderlich.</w:t>
      </w:r>
    </w:p>
    <w:p>
      <w:pPr>
        <w:pStyle w:val="Heading2"/>
      </w:pPr>
      <w:r>
        <w:t>Volltext</w:t>
      </w:r>
    </w:p>
    <w:p>
      <w:r>
        <w:t>Uri Rechenschaftsbericht über die Rechtspflege 20.07.1999 98/99 12 Uri Rechenschaftsbericht über die Rechtspflege 20.07.1999 98/99 12 Uri Rechenschaftsbericht über die Rechtspflege 20.07.1999 98/99 12</w:t>
      </w:r>
    </w:p>
    <w:p>
      <w:r>
        <w:t>Strafprozessordnung. Art. 56 Abs. 1 StPO. | Strafprozessordnung. Art. 56 Abs. 1 StPO. Amtliche Verteidigung. Für das Rechtsmittelverfahren ist ein neues Gesuch erforderlich.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