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54 vom 6. Oktober 1997</w:t>
      </w:r>
    </w:p>
    <w:p>
      <w:r>
        <w:t>UR Obergericht, 1997-10-06, DE</w:t>
      </w:r>
    </w:p>
    <w:p>
      <w:r>
        <w:rPr>
          <w:b/>
        </w:rPr>
        <w:t xml:space="preserve">Quelle: </w:t>
      </w:r>
      <w:r>
        <w:t>https://mcp.opencaselaw.ch/entscheid/ur_gerichte_96_97_54</w:t>
      </w:r>
    </w:p>
    <w:p>
      <w:r>
        <w:t>FR: UR_GERICHTE 96/97 54 du 6 octobre 1997</w:t>
      </w:r>
    </w:p>
    <w:p>
      <w:r>
        <w:t>IT: UR_GERICHTE 96/97 54 del 6 ottobre 1997</w:t>
      </w:r>
    </w:p>
    <w:p>
      <w:pPr>
        <w:pStyle w:val="Heading2"/>
      </w:pPr>
      <w:r>
        <w:t>Regeste</w:t>
      </w:r>
    </w:p>
    <w:p>
      <w:r>
        <w:t>Schuldbetreibung und Konkurs. Art. 47 Abs. 1 GebV SchKG. | Schuldbetreibung und Konkurs. Art. 47 Abs. 1 GebV SchKG. Qualitative nicht quantitative Kriterien sind massgebend für das Vorliegen eines anspruchsvollen Verfahrens. Bemessung des Entgelts. Zulässige Stundenansätze für ein Treuhandunternehmen.</w:t>
      </w:r>
    </w:p>
    <w:p>
      <w:pPr>
        <w:pStyle w:val="Heading2"/>
      </w:pPr>
      <w:r>
        <w:t>Volltext</w:t>
      </w:r>
    </w:p>
    <w:p>
      <w:r>
        <w:t>Uri Rechenschaftsbericht über die Rechtspflege 06.10.1997 96/97 54 Uri Rechenschaftsbericht über die Rechtspflege 06.10.1997 96/97 54 Uri Rechenschaftsbericht über die Rechtspflege 06.10.1997 96/97 54</w:t>
      </w:r>
    </w:p>
    <w:p>
      <w:r>
        <w:t>Schuldbetreibung und Konkurs. Art. 47 Abs. 1 GebV SchKG. | Schuldbetreibung und Konkurs. Art. 47 Abs. 1 GebV SchKG. Qualitative nicht quantitative Kriterien sind massgebend für das Vorliegen eines anspruchsvollen Verfahrens. Bemessung des Entgelts. Zulässige Stundenansätze für ein Treuhandunternehmen.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