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96/97 53 vom 10. September 1997</w:t>
      </w:r>
    </w:p>
    <w:p>
      <w:r>
        <w:t>UR Obergericht, 1997-09-10, DE</w:t>
      </w:r>
    </w:p>
    <w:p>
      <w:r>
        <w:rPr>
          <w:b/>
        </w:rPr>
        <w:t xml:space="preserve">Quelle: </w:t>
      </w:r>
      <w:r>
        <w:t>https://mcp.opencaselaw.ch/entscheid/ur_gerichte_96_97_53</w:t>
      </w:r>
    </w:p>
    <w:p>
      <w:r>
        <w:t>FR: UR_GERICHTE 96/97 53 du 10 septembre 1997</w:t>
      </w:r>
    </w:p>
    <w:p>
      <w:r>
        <w:t>IT: UR_GERICHTE 96/97 53 del 10 settembre 1997</w:t>
      </w:r>
    </w:p>
    <w:p>
      <w:pPr>
        <w:pStyle w:val="Heading2"/>
      </w:pPr>
      <w:r>
        <w:t>Regeste</w:t>
      </w:r>
    </w:p>
    <w:p>
      <w:r>
        <w:t>Schuldbetreibung und Konkurs. Art. 92 und 93 SchKG. v | Schuldbetreibung und Konkurs. Art. 92 und 93 SchKG. Berechnung der pfändbaren Quote bei einem Selbständigerwerbenden. Die tatsächlichen Feststellungen, die zur Ermittlung des pfändbaren Erwerbseinkommens führen, haben die Betreibungsbehörden von Amtes wegen zu treffen (Untersuchungsmaxime).</w:t>
      </w:r>
    </w:p>
    <w:p>
      <w:pPr>
        <w:pStyle w:val="Heading2"/>
      </w:pPr>
      <w:r>
        <w:t>Volltext</w:t>
      </w:r>
    </w:p>
    <w:p>
      <w:r>
        <w:t>Uri Rechenschaftsbericht über die Rechtspflege 10.09.1997 96/97 53 Uri Rechenschaftsbericht über die Rechtspflege 10.09.1997 96/97 53 Uri Rechenschaftsbericht über die Rechtspflege 10.09.1997 96/97 53</w:t>
      </w:r>
    </w:p>
    <w:p>
      <w:r>
        <w:t>Schuldbetreibung und Konkurs. Art. 92 und 93 SchKG. v | Schuldbetreibung und Konkurs. Art. 92 und 93 SchKG. Berechnung der pfändbaren Quote bei einem Selbständigerwerbenden. Die tatsächlichen Feststellungen, die zur Ermittlung des pfändbaren Erwerbseinkommens führen, haben die Betreibungsbehörden von Amtes wegen zu treffen (Untersuchungsmaxime).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