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96/97 49 vom 11. Februar 1998</w:t>
      </w:r>
    </w:p>
    <w:p>
      <w:r>
        <w:t>UR Obergericht, 1998-02-11, DE</w:t>
      </w:r>
    </w:p>
    <w:p>
      <w:r>
        <w:rPr>
          <w:b/>
        </w:rPr>
        <w:t xml:space="preserve">Quelle: </w:t>
      </w:r>
      <w:r>
        <w:t>https://mcp.opencaselaw.ch/entscheid/ur_gerichte_96_97_49</w:t>
      </w:r>
    </w:p>
    <w:p>
      <w:r>
        <w:t>FR: UR_GERICHTE 96/97 49 du 11 février 1998</w:t>
      </w:r>
    </w:p>
    <w:p>
      <w:r>
        <w:t>IT: UR_GERICHTE 96/97 49 del 11 febbraio 1998</w:t>
      </w:r>
    </w:p>
    <w:p>
      <w:pPr>
        <w:pStyle w:val="Heading2"/>
      </w:pPr>
      <w:r>
        <w:t>Regeste</w:t>
      </w:r>
    </w:p>
    <w:p>
      <w:r>
        <w:t>Ausstand des Staatsanwaltes. Art. 5 AusG. | Ausstand des Staatsanwaltes. Art. 5 AusG. Zuständigkeit der Aufsichtskommission zum Entscheid über die Ausstandsstreitigkeit (E. 1). Treu und Glauben. Ein Ausstandsgrund ist unverzüglich nach dessen Kenntnis geltend zu machen (E. 2 und 3).</w:t>
      </w:r>
    </w:p>
    <w:p>
      <w:pPr>
        <w:pStyle w:val="Heading2"/>
      </w:pPr>
      <w:r>
        <w:t>Volltext</w:t>
      </w:r>
    </w:p>
    <w:p>
      <w:r>
        <w:t>Uri Rechenschaftsbericht über die Rechtspflege 11.02.1998 96/97 49 Uri Rechenschaftsbericht über die Rechtspflege 11.02.1998 96/97 49 Uri Rechenschaftsbericht über die Rechtspflege 11.02.1998 96/97 49</w:t>
      </w:r>
    </w:p>
    <w:p>
      <w:r>
        <w:t>Ausstand des Staatsanwaltes. Art. 5 AusG. | Ausstand des Staatsanwaltes. Art. 5 AusG. Zuständigkeit der Aufsichtskommission zum Entscheid über die Ausstandsstreitigkeit (E. 1). Treu und Glauben. Ein Ausstandsgrund ist unverzüglich nach dessen Kenntnis geltend zu machen (E. 2 und 3).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