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46 vom 16. Mai 1997</w:t>
      </w:r>
    </w:p>
    <w:p>
      <w:r>
        <w:t>UR Obergericht, 1997-05-16, DE</w:t>
      </w:r>
    </w:p>
    <w:p>
      <w:r>
        <w:rPr>
          <w:b/>
        </w:rPr>
        <w:t xml:space="preserve">Quelle: </w:t>
      </w:r>
      <w:r>
        <w:t>https://mcp.opencaselaw.ch/entscheid/ur_gerichte_96_97_46</w:t>
      </w:r>
    </w:p>
    <w:p>
      <w:r>
        <w:t>FR: UR_GERICHTE 96/97 46 du 16 mai 1997</w:t>
      </w:r>
    </w:p>
    <w:p>
      <w:r>
        <w:t>IT: UR_GERICHTE 96/97 46 del 16 maggio 1997</w:t>
      </w:r>
    </w:p>
    <w:p>
      <w:pPr>
        <w:pStyle w:val="Heading2"/>
      </w:pPr>
      <w:r>
        <w:t>Regeste</w:t>
      </w:r>
    </w:p>
    <w:p>
      <w:r>
        <w:t>Strassenverkehrsrecht. Art. 16 Abs. 3 lit. b, Art. 17 Abs. 1 lit. b SVG. Art. 33 Abs. 2 VZV. | Strassenverkehrsrecht. Art. 16 Abs. 3 lit. b, Art. 17 Abs. 1 lit. b SVG. Art. 33 Abs. 2 VZV. Entzug des Führerausweises bei einem Motorradlenker (50 cm3). Verkehrsgefährdung durch Motorradlenker. Berufliche Angewiesenheit auf den Führerausweis.</w:t>
      </w:r>
    </w:p>
    <w:p>
      <w:pPr>
        <w:pStyle w:val="Heading2"/>
      </w:pPr>
      <w:r>
        <w:t>Volltext</w:t>
      </w:r>
    </w:p>
    <w:p>
      <w:r>
        <w:t>Uri Rechenschaftsbericht über die Rechtspflege 16.05.1997 96/97 46 Uri Rechenschaftsbericht über die Rechtspflege 16.05.1997 96/97 46 Uri Rechenschaftsbericht über die Rechtspflege 16.05.1997 96/97 46</w:t>
      </w:r>
    </w:p>
    <w:p>
      <w:r>
        <w:t>Strassenverkehrsrecht. Art. 16 Abs. 3 lit. b, Art. 17 Abs. 1 lit. b SVG. Art. 33 Abs. 2 VZV. | Strassenverkehrsrecht. Art. 16 Abs. 3 lit. b, Art. 17 Abs. 1 lit. b SVG. Art. 33 Abs. 2 VZV. Entzug des Führerausweises bei einem Motorradlenker (50 cm3). Verkehrsgefährdung durch Motorradlenker. Berufliche Angewiesenheit auf den Führerausweis.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