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44 vom 3. März 1997</w:t>
      </w:r>
    </w:p>
    <w:p>
      <w:r>
        <w:t>UR Obergericht, 1997-03-03, DE</w:t>
      </w:r>
    </w:p>
    <w:p>
      <w:r>
        <w:rPr>
          <w:b/>
        </w:rPr>
        <w:t xml:space="preserve">Quelle: </w:t>
      </w:r>
      <w:r>
        <w:t>https://mcp.opencaselaw.ch/entscheid/ur_gerichte_96_97_44</w:t>
      </w:r>
    </w:p>
    <w:p>
      <w:r>
        <w:t>FR: UR_GERICHTE 96/97 44 du 3 mars 1997</w:t>
      </w:r>
    </w:p>
    <w:p>
      <w:r>
        <w:t>IT: UR_GERICHTE 96/97 44 del 3 marzo 1997</w:t>
      </w:r>
    </w:p>
    <w:p>
      <w:pPr>
        <w:pStyle w:val="Heading2"/>
      </w:pPr>
      <w:r>
        <w:t>Regeste</w:t>
      </w:r>
    </w:p>
    <w:p>
      <w:r>
        <w:t>Raumplanung. Abbruchverfügung | Raumplanung. Abbruchverfügung. Eine Verfügung, welche auf einer rechtskräftigen früheren Verfügung beruht und diese lediglich vollzieht oder bestätigt, kann nicht mit der Begründung angefochten werden, die frühere Verfügung sei rechtswidrig; eine solche Rüge ist verspätet. Anwendungsfall, bei dem lediglich eine zweite Wiederherstellungsfrist mit der Androhung der konkreten Ersatzvornahme verfügt worden ist.</w:t>
      </w:r>
    </w:p>
    <w:p>
      <w:pPr>
        <w:pStyle w:val="Heading2"/>
      </w:pPr>
      <w:r>
        <w:t>Volltext</w:t>
      </w:r>
    </w:p>
    <w:p>
      <w:r>
        <w:t>Uri Rechenschaftsbericht über die Rechtspflege 03.03.1997 96/97 44 Uri Rechenschaftsbericht über die Rechtspflege 03.03.1997 96/97 44 Uri Rechenschaftsbericht über die Rechtspflege 03.03.1997 96/97 44</w:t>
      </w:r>
    </w:p>
    <w:p>
      <w:r>
        <w:t>Raumplanung. Abbruchverfügung | Raumplanung. Abbruchverfügung. Eine Verfügung, welche auf einer rechtskräftigen früheren Verfügung beruht und diese lediglich vollzieht oder bestätigt, kann nicht mit der Begründung angefochten werden, die frühere Verfügung sei rechtswidrig; eine solche Rüge ist verspätet. Anwendungsfall, bei dem lediglich eine zweite Wiederherstellungsfrist mit der Androhung der konkreten Ersatzvornahme verfügt worden ist.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