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37 vom 5. September 1997</w:t>
      </w:r>
    </w:p>
    <w:p>
      <w:r>
        <w:t>UR Obergericht, 1997-09-05, DE</w:t>
      </w:r>
    </w:p>
    <w:p>
      <w:r>
        <w:rPr>
          <w:b/>
        </w:rPr>
        <w:t xml:space="preserve">Quelle: </w:t>
      </w:r>
      <w:r>
        <w:t>https://mcp.opencaselaw.ch/entscheid/ur_gerichte_96_97_37</w:t>
      </w:r>
    </w:p>
    <w:p>
      <w:r>
        <w:t>FR: UR_GERICHTE 96/97 37 du 5 septembre 1997</w:t>
      </w:r>
    </w:p>
    <w:p>
      <w:r>
        <w:t>IT: UR_GERICHTE 96/97 37 del 5 settembre 1997</w:t>
      </w:r>
    </w:p>
    <w:p>
      <w:pPr>
        <w:pStyle w:val="Heading2"/>
      </w:pPr>
      <w:r>
        <w:t>Regeste</w:t>
      </w:r>
    </w:p>
    <w:p>
      <w:r>
        <w:t>Schätzung von Grundstücken. Art. 55 Abs. 1 lit. b und c StG. | Schätzung von Grundstücken. Art. 55 Abs. 1 lit. b und c StG. Steueramtliche Schätzung von landwirtschaftlich genutzten Grundstücken in einer Bauzone. Änderung der Besteuerungspraxis als Folge des rev. StG.</w:t>
      </w:r>
    </w:p>
    <w:p>
      <w:pPr>
        <w:pStyle w:val="Heading2"/>
      </w:pPr>
      <w:r>
        <w:t>Volltext</w:t>
      </w:r>
    </w:p>
    <w:p>
      <w:r>
        <w:t>Uri Rechenschaftsbericht über die Rechtspflege 05.09.1997 96/97 37 Uri Rechenschaftsbericht über die Rechtspflege 05.09.1997 96/97 37 Uri Rechenschaftsbericht über die Rechtspflege 05.09.1997 96/97 37</w:t>
      </w:r>
    </w:p>
    <w:p>
      <w:r>
        <w:t>Schätzung von Grundstücken. Art. 55 Abs. 1 lit. b und c StG. | Schätzung von Grundstücken. Art. 55 Abs. 1 lit. b und c StG. Steueramtliche Schätzung von landwirtschaftlich genutzten Grundstücken in einer Bauzone. Änderung der Besteuerungspraxis als Folge des rev. StG.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