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35 vom 4. März 1998</w:t>
      </w:r>
    </w:p>
    <w:p>
      <w:r>
        <w:t>UR Obergericht, 1998-03-04, DE</w:t>
      </w:r>
    </w:p>
    <w:p>
      <w:r>
        <w:rPr>
          <w:b/>
        </w:rPr>
        <w:t xml:space="preserve">Quelle: </w:t>
      </w:r>
      <w:r>
        <w:t>https://mcp.opencaselaw.ch/entscheid/ur_gerichte_96_97_35</w:t>
      </w:r>
    </w:p>
    <w:p>
      <w:r>
        <w:t>FR: UR_GERICHTE 96/97 35 du 4 mars 1998</w:t>
      </w:r>
    </w:p>
    <w:p>
      <w:r>
        <w:t>IT: UR_GERICHTE 96/97 35 del 4 marzo 1998</w:t>
      </w:r>
    </w:p>
    <w:p>
      <w:pPr>
        <w:pStyle w:val="Heading2"/>
      </w:pPr>
      <w:r>
        <w:t>Regeste</w:t>
      </w:r>
    </w:p>
    <w:p>
      <w:r>
        <w:t>Fremdenpolizei. Art. 13 lit. f BVO. | Fremdenpolizei. Art. 13 lit. f BVO. Härtefall. Abgrenzung zum Asylrecht (E. 13b) und zu Art. 28 Abs. 1 lit. b BVO (E. 13c). Beurteilungskriterien, insbesondere bei Kindern (E. 13d-g), unter Berücksichtigung der neuesten bundesgerichtlichen Rechtsprechung. Untersuchungspflicht der Verwaltungsbehörde (E. 13h).</w:t>
      </w:r>
    </w:p>
    <w:p>
      <w:pPr>
        <w:pStyle w:val="Heading2"/>
      </w:pPr>
      <w:r>
        <w:t>Volltext</w:t>
      </w:r>
    </w:p>
    <w:p>
      <w:r>
        <w:t>Uri Rechenschaftsbericht über die Rechtspflege 04.03.1998 96/97 35 Uri Rechenschaftsbericht über die Rechtspflege 04.03.1998 96/97 35 Uri Rechenschaftsbericht über die Rechtspflege 04.03.1998 96/97 35</w:t>
      </w:r>
    </w:p>
    <w:p>
      <w:r>
        <w:t>Fremdenpolizei. Art. 13 lit. f BVO. | Fremdenpolizei. Art. 13 lit. f BVO. Härtefall. Abgrenzung zum Asylrecht (E. 13b) und zu Art. 28 Abs. 1 lit. b BVO (E. 13c). Beurteilungskriterien, insbesondere bei Kindern (E. 13d-g), unter Berücksichtigung der neuesten bundesgerichtlichen Rechtsprechung. Untersuchungspflicht der Verwaltungsbehörde (E. 13h).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