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29 vom 13. Juni 1997</w:t>
      </w:r>
    </w:p>
    <w:p>
      <w:r>
        <w:t>UR Obergericht, 1997-06-13, DE</w:t>
      </w:r>
    </w:p>
    <w:p>
      <w:r>
        <w:rPr>
          <w:b/>
        </w:rPr>
        <w:t xml:space="preserve">Quelle: </w:t>
      </w:r>
      <w:r>
        <w:t>https://mcp.opencaselaw.ch/entscheid/ur_gerichte_96_97_29</w:t>
      </w:r>
    </w:p>
    <w:p>
      <w:r>
        <w:t>FR: UR_GERICHTE 96/97 29 du 13 juin 1997</w:t>
      </w:r>
    </w:p>
    <w:p>
      <w:r>
        <w:t>IT: UR_GERICHTE 96/97 29 del 13 giugno 1997</w:t>
      </w:r>
    </w:p>
    <w:p>
      <w:pPr>
        <w:pStyle w:val="Heading2"/>
      </w:pPr>
      <w:r>
        <w:t>Regeste</w:t>
      </w:r>
    </w:p>
    <w:p>
      <w:r>
        <w:t>Verfahrensrecht des Bundes. Art. 108 Abs. 1 lit. c UVG. | Verfahrensrecht des Bundes. Art. 108 Abs. 1 lit. c UVG. Aus dem Untersuchungsgrundsatz lässt sich kein Anspruch ableiten, zu jeder Zeit mit neuen Rechtsgründen und Einwendungen an die Rechtsmittelinstanz zu gelangen.</w:t>
      </w:r>
    </w:p>
    <w:p>
      <w:pPr>
        <w:pStyle w:val="Heading2"/>
      </w:pPr>
      <w:r>
        <w:t>Volltext</w:t>
      </w:r>
    </w:p>
    <w:p>
      <w:r>
        <w:t>Uri Rechenschaftsbericht über die Rechtspflege 13.06.1997 96/97 29 Uri Rechenschaftsbericht über die Rechtspflege 13.06.1997 96/97 29 Uri Rechenschaftsbericht über die Rechtspflege 13.06.1997 96/97 29</w:t>
      </w:r>
    </w:p>
    <w:p>
      <w:r>
        <w:t>Verfahrensrecht des Bundes. Art. 108 Abs. 1 lit. c UVG. | Verfahrensrecht des Bundes. Art. 108 Abs. 1 lit. c UVG. Aus dem Untersuchungsgrundsatz lässt sich kein Anspruch ableiten, zu jeder Zeit mit neuen Rechtsgründen und Einwendungen an die Rechtsmittelinstanz zu gelangen.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