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27 vom 3. März 1997</w:t>
      </w:r>
    </w:p>
    <w:p>
      <w:r>
        <w:t>UR Obergericht, 1997-03-03, DE</w:t>
      </w:r>
    </w:p>
    <w:p>
      <w:r>
        <w:rPr>
          <w:b/>
        </w:rPr>
        <w:t xml:space="preserve">Quelle: </w:t>
      </w:r>
      <w:r>
        <w:t>https://mcp.opencaselaw.ch/entscheid/ur_gerichte_96_97_27</w:t>
      </w:r>
    </w:p>
    <w:p>
      <w:r>
        <w:t>FR: UR_GERICHTE 96/97 27 du 3 mars 1997</w:t>
      </w:r>
    </w:p>
    <w:p>
      <w:r>
        <w:t>IT: UR_GERICHTE 96/97 27 del 3 marzo 1997</w:t>
      </w:r>
    </w:p>
    <w:p>
      <w:pPr>
        <w:pStyle w:val="Heading2"/>
      </w:pPr>
      <w:r>
        <w:t>Regeste</w:t>
      </w:r>
    </w:p>
    <w:p>
      <w:r>
        <w:t>Kantonales Verfahrensrecht. Art. 58 VRPV. | Kantonales Verfahrensrecht. Art. 58 VRPV. Zulässige Noven der Beschwerdeführer bei Ergänzung der Begründung des angefochtenen Entscheides durch die Vorinstanz in der Stellungnahme.</w:t>
      </w:r>
    </w:p>
    <w:p>
      <w:pPr>
        <w:pStyle w:val="Heading2"/>
      </w:pPr>
      <w:r>
        <w:t>Volltext</w:t>
      </w:r>
    </w:p>
    <w:p>
      <w:r>
        <w:t>Uri Rechenschaftsbericht über die Rechtspflege 03.03.1997 96/97 27 Uri Rechenschaftsbericht über die Rechtspflege 03.03.1997 96/97 27 Uri Rechenschaftsbericht über die Rechtspflege 03.03.1997 96/97 27</w:t>
      </w:r>
    </w:p>
    <w:p>
      <w:r>
        <w:t>Kantonales Verfahrensrecht. Art. 58 VRPV. | Kantonales Verfahrensrecht. Art. 58 VRPV. Zulässige Noven der Beschwerdeführer bei Ergänzung der Begründung des angefochtenen Entscheides durch die Vorinstanz in der Stellungnahme.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