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24 vom 19. Dezember 1997</w:t>
      </w:r>
    </w:p>
    <w:p>
      <w:r>
        <w:t>UR Obergericht, 1997-12-19, DE</w:t>
      </w:r>
    </w:p>
    <w:p>
      <w:r>
        <w:rPr>
          <w:b/>
        </w:rPr>
        <w:t xml:space="preserve">Quelle: </w:t>
      </w:r>
      <w:r>
        <w:t>https://mcp.opencaselaw.ch/entscheid/ur_gerichte_96_97_24</w:t>
      </w:r>
    </w:p>
    <w:p>
      <w:r>
        <w:t>FR: UR_GERICHTE 96/97 24 du 19 décembre 1997</w:t>
      </w:r>
    </w:p>
    <w:p>
      <w:r>
        <w:t>IT: UR_GERICHTE 96/97 24 del 19 dicembre 1997</w:t>
      </w:r>
    </w:p>
    <w:p>
      <w:pPr>
        <w:pStyle w:val="Heading2"/>
      </w:pPr>
      <w:r>
        <w:t>Regeste</w:t>
      </w:r>
    </w:p>
    <w:p>
      <w:r>
        <w:t>Kantonales Verfahrensrecht. Art. 14 Abs. 1 und 3 VRPV. Art. 49 Abs. 1 VRPV. | Kantonales Verfahrensrecht. Art. 14 Abs. 1 und 3 VRPV. Art. 49 Abs. 1 VRPV. Die geringe Mitwirkungspflicht bei der Verwaltungsbeschwerde verlangt von der Entscheidbehörde eine erhöhte Sorgfaltspflicht bei der Abklärung des Sachverhalts und der Rügegründe.</w:t>
      </w:r>
    </w:p>
    <w:p>
      <w:pPr>
        <w:pStyle w:val="Heading2"/>
      </w:pPr>
      <w:r>
        <w:t>Volltext</w:t>
      </w:r>
    </w:p>
    <w:p>
      <w:r>
        <w:t>Uri Rechenschaftsbericht über die Rechtspflege 19.12.1997 96/97 24 Uri Rechenschaftsbericht über die Rechtspflege 19.12.1997 96/97 24 Uri Rechenschaftsbericht über die Rechtspflege 19.12.1997 96/97 24</w:t>
      </w:r>
    </w:p>
    <w:p>
      <w:r>
        <w:t>Kantonales Verfahrensrecht. Art. 14 Abs. 1 und 3 VRPV. Art. 49 Abs. 1 VRPV. | Kantonales Verfahrensrecht. Art. 14 Abs. 1 und 3 VRPV. Art. 49 Abs. 1 VRPV. Die geringe Mitwirkungspflicht bei der Verwaltungsbeschwerde verlangt von der Entscheidbehörde eine erhöhte Sorgfaltspflicht bei der Abklärung des Sachverhalts und der Rügegründe.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