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96/97 20 vom 22. April 1997</w:t>
      </w:r>
    </w:p>
    <w:p>
      <w:r>
        <w:t>UR Obergericht, 1997-04-22, DE</w:t>
      </w:r>
    </w:p>
    <w:p>
      <w:r>
        <w:rPr>
          <w:b/>
        </w:rPr>
        <w:t xml:space="preserve">Quelle: </w:t>
      </w:r>
      <w:r>
        <w:t>https://mcp.opencaselaw.ch/entscheid/ur_gerichte_96_97_20</w:t>
      </w:r>
    </w:p>
    <w:p>
      <w:r>
        <w:t>FR: UR_GERICHTE 96/97 20 du 22 avril 1997</w:t>
      </w:r>
    </w:p>
    <w:p>
      <w:r>
        <w:t>IT: UR_GERICHTE 96/97 20 del 22 aprile 1997</w:t>
      </w:r>
    </w:p>
    <w:p>
      <w:pPr>
        <w:pStyle w:val="Heading2"/>
      </w:pPr>
      <w:r>
        <w:t>Regeste</w:t>
      </w:r>
    </w:p>
    <w:p>
      <w:r>
        <w:t>Kantonales Verfahrensrecht. Art. 31 VRPV. | Kantonales Verfahrensrecht. Art. 31 VRPV. Wiederherstellung. Voraussetzung des unverschuldeten Abhaltens. Gesetzesauslegung. Inhalt des Rechtsbegriffes (E. 2). Beurteilungsspielraum bei der Auslegung des Rechtsbegriffes (E. 3a). Anrechenbarkeit der Vorkehren und Versäumnisse von Hilfspersonen (E. 3b).</w:t>
      </w:r>
    </w:p>
    <w:p>
      <w:pPr>
        <w:pStyle w:val="Heading2"/>
      </w:pPr>
      <w:r>
        <w:t>Volltext</w:t>
      </w:r>
    </w:p>
    <w:p>
      <w:r>
        <w:t>Uri Rechenschaftsbericht über die Rechtspflege 22.04.1997 96/97 20 Uri Rechenschaftsbericht über die Rechtspflege 22.04.1997 96/97 20 Uri Rechenschaftsbericht über die Rechtspflege 22.04.1997 96/97 20</w:t>
      </w:r>
    </w:p>
    <w:p>
      <w:r>
        <w:t>Kantonales Verfahrensrecht. Art. 31 VRPV. | Kantonales Verfahrensrecht. Art. 31 VRPV. Wiederherstellung. Voraussetzung des unverschuldeten Abhaltens. Gesetzesauslegung. Inhalt des Rechtsbegriffes (E. 2). Beurteilungsspielraum bei der Auslegung des Rechtsbegriffes (E. 3a). Anrechenbarkeit der Vorkehren und Versäumnisse von Hilfspersonen (E. 3b).</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