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16 vom 14. November 1997</w:t>
      </w:r>
    </w:p>
    <w:p>
      <w:r>
        <w:t>UR Obergericht, 1997-11-14, DE</w:t>
      </w:r>
    </w:p>
    <w:p>
      <w:r>
        <w:rPr>
          <w:b/>
        </w:rPr>
        <w:t xml:space="preserve">Quelle: </w:t>
      </w:r>
      <w:r>
        <w:t>https://mcp.opencaselaw.ch/entscheid/ur_gerichte_96_97_16</w:t>
      </w:r>
    </w:p>
    <w:p>
      <w:r>
        <w:t>FR: UR_GERICHTE 96/97 16 du 14 novembre 1997</w:t>
      </w:r>
    </w:p>
    <w:p>
      <w:r>
        <w:t>IT: UR_GERICHTE 96/97 16 del 14 novembre 1997</w:t>
      </w:r>
    </w:p>
    <w:p>
      <w:pPr>
        <w:pStyle w:val="Heading2"/>
      </w:pPr>
      <w:r>
        <w:t>Regeste</w:t>
      </w:r>
    </w:p>
    <w:p>
      <w:r>
        <w:t>Strafgesetzbuch. Art. 41 Ziff. 1 Abs. 1 StGB. | Strafgesetzbuch. Art. 41 Ziff. 1 Abs. 1 StGB. Fahren in angetrunkenem Zustand. Wiederholungstäter. Bedingter Vollzug der Freiheitsstrafe. Erhöhte Anforderungen an die günstige Prognose. Gesamtwürdigung. Kein Vorrang des ansonsten guten Leumundes. In concreto: keine Gewährung des bedingten Vollzuges.</w:t>
      </w:r>
    </w:p>
    <w:p>
      <w:pPr>
        <w:pStyle w:val="Heading2"/>
      </w:pPr>
      <w:r>
        <w:t>Volltext</w:t>
      </w:r>
    </w:p>
    <w:p>
      <w:r>
        <w:t>Uri Rechenschaftsbericht über die Rechtspflege 14.11.1997 96/97 16 Uri Rechenschaftsbericht über die Rechtspflege 14.11.1997 96/97 16 Uri Rechenschaftsbericht über die Rechtspflege 14.11.1997 96/97 16</w:t>
      </w:r>
    </w:p>
    <w:p>
      <w:r>
        <w:t>Strafgesetzbuch. Art. 41 Ziff. 1 Abs. 1 StGB. | Strafgesetzbuch. Art. 41 Ziff. 1 Abs. 1 StGB. Fahren in angetrunkenem Zustand. Wiederholungstäter. Bedingter Vollzug der Freiheitsstrafe. Erhöhte Anforderungen an die günstige Prognose. Gesamtwürdigung. Kein Vorrang des ansonsten guten Leumundes. In concreto: keine Gewährung des bedingten Vollzuges.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