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14 vom 14. November 1997</w:t>
      </w:r>
    </w:p>
    <w:p>
      <w:r>
        <w:t>UR Obergericht, 1997-11-14, DE</w:t>
      </w:r>
    </w:p>
    <w:p>
      <w:r>
        <w:rPr>
          <w:b/>
        </w:rPr>
        <w:t xml:space="preserve">Quelle: </w:t>
      </w:r>
      <w:r>
        <w:t>https://mcp.opencaselaw.ch/entscheid/ur_gerichte_96_97_14</w:t>
      </w:r>
    </w:p>
    <w:p>
      <w:r>
        <w:t>FR: UR_GERICHTE 96/97 14 du 14 novembre 1997</w:t>
      </w:r>
    </w:p>
    <w:p>
      <w:r>
        <w:t>IT: UR_GERICHTE 96/97 14 del 14 novembre 1997</w:t>
      </w:r>
    </w:p>
    <w:p>
      <w:pPr>
        <w:pStyle w:val="Heading2"/>
      </w:pPr>
      <w:r>
        <w:t>Regeste</w:t>
      </w:r>
    </w:p>
    <w:p>
      <w:r>
        <w:t>Strafprozessordnung. Art. 221 Abs. 2 StPO. | Strafprozessordnung. Art. 221 Abs. 2 StPO. Die Rechtsbegehren der Berufungserklärung sind zumindest kurz und sachbezogen zu begründen.</w:t>
      </w:r>
    </w:p>
    <w:p>
      <w:pPr>
        <w:pStyle w:val="Heading2"/>
      </w:pPr>
      <w:r>
        <w:t>Volltext</w:t>
      </w:r>
    </w:p>
    <w:p>
      <w:r>
        <w:t>Uri Rechenschaftsbericht über die Rechtspflege 14.11.1997 96/97 14 Uri Rechenschaftsbericht über die Rechtspflege 14.11.1997 96/97 14 Uri Rechenschaftsbericht über die Rechtspflege 14.11.1997 96/97 14</w:t>
      </w:r>
    </w:p>
    <w:p>
      <w:r>
        <w:t>Strafprozessordnung. Art. 221 Abs. 2 StPO. | Strafprozessordnung. Art. 221 Abs. 2 StPO. Die Rechtsbegehren der Berufungserklärung sind zumindest kurz und sachbezogen zu begründen.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