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13 vom 26. Januar 1998</w:t>
      </w:r>
    </w:p>
    <w:p>
      <w:r>
        <w:t>UR Obergericht, 1998-01-26, DE</w:t>
      </w:r>
    </w:p>
    <w:p>
      <w:r>
        <w:rPr>
          <w:b/>
        </w:rPr>
        <w:t xml:space="preserve">Quelle: </w:t>
      </w:r>
      <w:r>
        <w:t>https://mcp.opencaselaw.ch/entscheid/ur_gerichte_96_97_13</w:t>
      </w:r>
    </w:p>
    <w:p>
      <w:r>
        <w:t>FR: UR_GERICHTE 96/97 13 du 26 janvier 1998</w:t>
      </w:r>
    </w:p>
    <w:p>
      <w:r>
        <w:t>IT: UR_GERICHTE 96/97 13 del 26 gennaio 1998</w:t>
      </w:r>
    </w:p>
    <w:p>
      <w:pPr>
        <w:pStyle w:val="Heading2"/>
      </w:pPr>
      <w:r>
        <w:t>Regeste</w:t>
      </w:r>
    </w:p>
    <w:p>
      <w:r>
        <w:t>Strafprozessordnung. Art. 191 StPO. | Strafprozessordnung. Art. 191 StPO. Der Rückzug eines Rechtsmittels kann bis zur Eröffnung des Endentscheides erfolgen.</w:t>
      </w:r>
    </w:p>
    <w:p>
      <w:pPr>
        <w:pStyle w:val="Heading2"/>
      </w:pPr>
      <w:r>
        <w:t>Volltext</w:t>
      </w:r>
    </w:p>
    <w:p>
      <w:r>
        <w:t>Uri Rechenschaftsbericht über die Rechtspflege 26.01.1998 96/97 13 Uri Rechenschaftsbericht über die Rechtspflege 26.01.1998 96/97 13 Uri Rechenschaftsbericht über die Rechtspflege 26.01.1998 96/97 13</w:t>
      </w:r>
    </w:p>
    <w:p>
      <w:r>
        <w:t>Strafprozessordnung. Art. 191 StPO. | Strafprozessordnung. Art. 191 StPO. Der Rückzug eines Rechtsmittels kann bis zur Eröffnung des Endentscheides erfolgen.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