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11 vom 12. Dezember 1997</w:t>
      </w:r>
    </w:p>
    <w:p>
      <w:r>
        <w:t>UR Obergericht, 1997-12-12, DE</w:t>
      </w:r>
    </w:p>
    <w:p>
      <w:r>
        <w:rPr>
          <w:b/>
        </w:rPr>
        <w:t xml:space="preserve">Quelle: </w:t>
      </w:r>
      <w:r>
        <w:t>https://mcp.opencaselaw.ch/entscheid/ur_gerichte_96_97_11</w:t>
      </w:r>
    </w:p>
    <w:p>
      <w:r>
        <w:t>FR: UR_GERICHTE 96/97 11 du 12 décembre 1997</w:t>
      </w:r>
    </w:p>
    <w:p>
      <w:r>
        <w:t>IT: UR_GERICHTE 96/97 11 del 12 dicembre 1997</w:t>
      </w:r>
    </w:p>
    <w:p>
      <w:pPr>
        <w:pStyle w:val="Heading2"/>
      </w:pPr>
      <w:r>
        <w:t>Regeste</w:t>
      </w:r>
    </w:p>
    <w:p>
      <w:r>
        <w:t>Kantonales Verfahrensrecht. Gerichtsorganisation. Art. 4, 58 BV. Art. 31 ff. GOG. (Bundesgericht) | Kantonales Verfahrensrecht. Gerichtsorganisation. Art. 4, 58 BV. Art. 31 ff. GOG. Der vertretungsweise Einsatz von Mitgliedern einer Abteilung in einer anderen ist nicht verfassungswidrig.</w:t>
      </w:r>
    </w:p>
    <w:p>
      <w:pPr>
        <w:pStyle w:val="Heading2"/>
      </w:pPr>
      <w:r>
        <w:t>Volltext</w:t>
      </w:r>
    </w:p>
    <w:p>
      <w:r>
        <w:t>Uri Rechenschaftsbericht über die Rechtspflege 12.12.1997 96/97 11 Uri Rechenschaftsbericht über die Rechtspflege 12.12.1997 96/97 11 Uri Rechenschaftsbericht über die Rechtspflege 12.12.1997 96/97 11</w:t>
      </w:r>
    </w:p>
    <w:p>
      <w:r>
        <w:t>Kantonales Verfahrensrecht. Gerichtsorganisation. Art. 4, 58 BV. Art. 31 ff. GOG. (Bundesgericht) | Kantonales Verfahrensrecht. Gerichtsorganisation. Art. 4, 58 BV. Art. 31 ff. GOG. Der vertretungsweise Einsatz von Mitgliedern einer Abteilung in einer anderen ist nicht verfassungswidrig.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