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96/97 09 vom 6. Mai 1997</w:t>
      </w:r>
    </w:p>
    <w:p>
      <w:r>
        <w:t>UR Obergericht, 1997-05-06, DE</w:t>
      </w:r>
    </w:p>
    <w:p>
      <w:r>
        <w:rPr>
          <w:b/>
        </w:rPr>
        <w:t xml:space="preserve">Quelle: </w:t>
      </w:r>
      <w:r>
        <w:t>https://mcp.opencaselaw.ch/entscheid/ur_gerichte_96_97_09</w:t>
      </w:r>
    </w:p>
    <w:p>
      <w:r>
        <w:t>FR: UR_GERICHTE 96/97 09 du 6 mai 1997</w:t>
      </w:r>
    </w:p>
    <w:p>
      <w:r>
        <w:t>IT: UR_GERICHTE 96/97 09 del 6 maggio 1997</w:t>
      </w:r>
    </w:p>
    <w:p>
      <w:pPr>
        <w:pStyle w:val="Heading2"/>
      </w:pPr>
      <w:r>
        <w:t>Regeste</w:t>
      </w:r>
    </w:p>
    <w:p>
      <w:r>
        <w:t>Erbrecht. Art. 604 und 626 ff. ZGB. | Erbrecht. Art. 604 und 626 ff. ZGB. Die Ausgleichungsklage ohne gleichzeitige Erbteilungsklage ist nur zulässig, wenn ein Feststellungsinteresse vorliegt. Wann ist das bundesrechtliche Feststellungsinteresse gegeben? Anwendungsfall.</w:t>
      </w:r>
    </w:p>
    <w:p>
      <w:pPr>
        <w:pStyle w:val="Heading2"/>
      </w:pPr>
      <w:r>
        <w:t>Volltext</w:t>
      </w:r>
    </w:p>
    <w:p>
      <w:r>
        <w:t>Uri Rechenschaftsbericht über die Rechtspflege 06.05.1997 96/97 09 Uri Rechenschaftsbericht über die Rechtspflege 06.05.1997 96/97 09 Uri Rechenschaftsbericht über die Rechtspflege 06.05.1997 96/97 09</w:t>
      </w:r>
    </w:p>
    <w:p>
      <w:r>
        <w:t>Erbrecht. Art. 604 und 626 ff. ZGB. | Erbrecht. Art. 604 und 626 ff. ZGB. Die Ausgleichungsklage ohne gleichzeitige Erbteilungsklage ist nur zulässig, wenn ein Feststellungsinteresse vorliegt. Wann ist das bundesrechtliche Feststellungsinteresse gegeben? Anwendungsfall.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