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05 vom 10. September 1996</w:t>
      </w:r>
    </w:p>
    <w:p>
      <w:r>
        <w:t>UR Obergericht, 1996-09-10, DE</w:t>
      </w:r>
    </w:p>
    <w:p>
      <w:r>
        <w:rPr>
          <w:b/>
        </w:rPr>
        <w:t xml:space="preserve">Quelle: </w:t>
      </w:r>
      <w:r>
        <w:t>https://mcp.opencaselaw.ch/entscheid/ur_gerichte_96_97_05</w:t>
      </w:r>
    </w:p>
    <w:p>
      <w:r>
        <w:t>FR: UR_GERICHTE 96/97 05 du 10 septembre 1996</w:t>
      </w:r>
    </w:p>
    <w:p>
      <w:r>
        <w:t>IT: UR_GERICHTE 96/97 05 del 10 settembre 1996</w:t>
      </w:r>
    </w:p>
    <w:p>
      <w:pPr>
        <w:pStyle w:val="Heading2"/>
      </w:pPr>
      <w:r>
        <w:t>Regeste</w:t>
      </w:r>
    </w:p>
    <w:p>
      <w:r>
        <w:t>Zivilprozessordnung. Art. 257 ZPO. | Zivilprozessordnung. Art. 257 ZPO. Rekurs. Voraussetzung für die Rückweisung an die Vorinstanz zur Neubeurteilung.</w:t>
      </w:r>
    </w:p>
    <w:p>
      <w:pPr>
        <w:pStyle w:val="Heading2"/>
      </w:pPr>
      <w:r>
        <w:t>Volltext</w:t>
      </w:r>
    </w:p>
    <w:p>
      <w:r>
        <w:t>Uri Rechenschaftsbericht über die Rechtspflege 10.09.1996 96/97 05 Uri Rechenschaftsbericht über die Rechtspflege 10.09.1996 96/97 05 Uri Rechenschaftsbericht über die Rechtspflege 10.09.1996 96/97 05</w:t>
      </w:r>
    </w:p>
    <w:p>
      <w:r>
        <w:t>Zivilprozessordnung. Art. 257 ZPO. | Zivilprozessordnung. Art. 257 ZPO. Rekurs. Voraussetzung für die Rückweisung an die Vorinstanz zur Neubeurteilung.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