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17 vom 24. Juli 1996</w:t>
      </w:r>
    </w:p>
    <w:p>
      <w:r>
        <w:t>UR Obergericht, 1996-07-24, DE</w:t>
      </w:r>
    </w:p>
    <w:p>
      <w:r>
        <w:rPr>
          <w:b/>
        </w:rPr>
        <w:t xml:space="preserve">Quelle: </w:t>
      </w:r>
      <w:r>
        <w:t>https://mcp.opencaselaw.ch/entscheid/ur_gerichte_94_95_17</w:t>
      </w:r>
    </w:p>
    <w:p>
      <w:r>
        <w:t>FR: UR_GERICHTE 94/95 17 du 24 juillet 1996</w:t>
      </w:r>
    </w:p>
    <w:p>
      <w:r>
        <w:t>IT: UR_GERICHTE 94/95 17 del 24 luglio 1996</w:t>
      </w:r>
    </w:p>
    <w:p>
      <w:pPr>
        <w:pStyle w:val="Heading2"/>
      </w:pPr>
      <w:r>
        <w:t>Regeste</w:t>
      </w:r>
    </w:p>
    <w:p>
      <w:r>
        <w:t>Art. 83 VRPV, Art. 58 GOG. | Art. 83 VRPV, Art. 58 GOG. Das kantonale Recht kennt die Rechtsverweigerungs-/verzögerungsbeschwerde nur im Verwaltungsverfahren als formelles Rechtsmittel. Bei zivil- und strafrechtlichen Verfahren kann eine Rechtsverweigerungs-/verzögerungsbeschwerde vom Obergericht lediglich als Aufsichtsbeschwerde angenommen werden.</w:t>
      </w:r>
    </w:p>
    <w:p>
      <w:pPr>
        <w:pStyle w:val="Heading2"/>
      </w:pPr>
      <w:r>
        <w:t>Volltext</w:t>
      </w:r>
    </w:p>
    <w:p>
      <w:r>
        <w:t>Uri Rechenschaftsbericht über die Rechtspflege 24.07.1996 94/95 17 Uri Rechenschaftsbericht über die Rechtspflege 24.07.1996 94/95 17 Uri Rechenschaftsbericht über die Rechtspflege 24.07.1996 94/95 17</w:t>
      </w:r>
    </w:p>
    <w:p>
      <w:r>
        <w:t>Art. 83 VRPV, Art. 58 GOG. | Art. 83 VRPV, Art. 58 GOG. Das kantonale Recht kennt die Rechtsverweigerungs-/verzögerungsbeschwerde nur im Verwaltungsverfahren als formelles Rechtsmittel. Bei zivil- und strafrechtlichen Verfahren kann eine Rechtsverweigerungs-/verzögerungsbeschwerde vom Obergericht lediglich als Aufsichtsbeschwerde angenommen werden.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