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15 vom 12. Juli 1995</w:t>
      </w:r>
    </w:p>
    <w:p>
      <w:r>
        <w:t>UR Obergericht, 1995-07-12, DE</w:t>
      </w:r>
    </w:p>
    <w:p>
      <w:r>
        <w:rPr>
          <w:b/>
        </w:rPr>
        <w:t xml:space="preserve">Quelle: </w:t>
      </w:r>
      <w:r>
        <w:t>https://mcp.opencaselaw.ch/entscheid/ur_gerichte_94_95_15</w:t>
      </w:r>
    </w:p>
    <w:p>
      <w:r>
        <w:t>FR: UR_GERICHTE 94/95 15 du 12 juillet 1995</w:t>
      </w:r>
    </w:p>
    <w:p>
      <w:r>
        <w:t>IT: UR_GERICHTE 94/95 15 del 12 luglio 1995</w:t>
      </w:r>
    </w:p>
    <w:p>
      <w:pPr>
        <w:pStyle w:val="Heading2"/>
      </w:pPr>
      <w:r>
        <w:t>Regeste</w:t>
      </w:r>
    </w:p>
    <w:p>
      <w:r>
        <w:t>Art. 66 Bst. c VRPV. Art. 4 Abs. 1 KV, Art. 18 Abs. 1 DBV. | Art. 66 Bst. c VRPV. Art. 4 Abs. 1 KV, Art. 18 Abs. 1 DBV. Verwaltungsrechtliche Klage, Staatshaftung. Kausalhaftung des Kantons für den Schaden, den seine Organe bzw. Mitarbeiter in der Ausübung ihrer amtlichen Tätigkeit Dritten widerrechtlich verursacht haben. Tatbestandsvoraussetzungen.</w:t>
      </w:r>
    </w:p>
    <w:p>
      <w:pPr>
        <w:pStyle w:val="Heading2"/>
      </w:pPr>
      <w:r>
        <w:t>Volltext</w:t>
      </w:r>
    </w:p>
    <w:p>
      <w:r>
        <w:t>Uri Rechenschaftsbericht über die Rechtspflege 12.07.1995 94/95 15 Uri Rechenschaftsbericht über die Rechtspflege 12.07.1995 94/95 15 Uri Rechenschaftsbericht über die Rechtspflege 12.07.1995 94/95 15</w:t>
      </w:r>
    </w:p>
    <w:p>
      <w:r>
        <w:t>Art. 66 Bst. c VRPV. Art. 4 Abs. 1 KV, Art. 18 Abs. 1 DBV. | Art. 66 Bst. c VRPV. Art. 4 Abs. 1 KV, Art. 18 Abs. 1 DBV. Verwaltungsrechtliche Klage, Staatshaftung. Kausalhaftung des Kantons für den Schaden, den seine Organe bzw. Mitarbeiter in der Ausübung ihrer amtlichen Tätigkeit Dritten widerrechtlich verursacht haben. Tatbestandsvoraussetzungen.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