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13 vom 31. Mai 1996</w:t>
      </w:r>
    </w:p>
    <w:p>
      <w:r>
        <w:t>UR Obergericht, 1996-05-31, DE</w:t>
      </w:r>
    </w:p>
    <w:p>
      <w:r>
        <w:rPr>
          <w:b/>
        </w:rPr>
        <w:t xml:space="preserve">Quelle: </w:t>
      </w:r>
      <w:r>
        <w:t>https://mcp.opencaselaw.ch/entscheid/ur_gerichte_94_95_13</w:t>
      </w:r>
    </w:p>
    <w:p>
      <w:r>
        <w:t>FR: UR_GERICHTE 94/95 13 du 31 mai 1996</w:t>
      </w:r>
    </w:p>
    <w:p>
      <w:r>
        <w:t>IT: UR_GERICHTE 94/95 13 del 31 maggio 1996</w:t>
      </w:r>
    </w:p>
    <w:p>
      <w:pPr>
        <w:pStyle w:val="Heading2"/>
      </w:pPr>
      <w:r>
        <w:t>Regeste</w:t>
      </w:r>
    </w:p>
    <w:p>
      <w:r>
        <w:t>Art. 64 i.V.m. Art. 49 VRPV. | Art. 64 i.V.m. Art. 49 VRPV. Verwaltungsgerichtsbeschwerde. Inhalt der Beschwerdeschrift. Fristansetzung für Mängelbehebung. Im Prozess sich aus dem Grundsatz von Treu und Glauben ableitende Pflicht, die notwendigen Vorkehrungen zu treffen, damit behördliche Akten zugestellt werden können.</w:t>
      </w:r>
    </w:p>
    <w:p>
      <w:pPr>
        <w:pStyle w:val="Heading2"/>
      </w:pPr>
      <w:r>
        <w:t>Volltext</w:t>
      </w:r>
    </w:p>
    <w:p>
      <w:r>
        <w:t>Uri Rechenschaftsbericht über die Rechtspflege 31.05.1996 94/95 13 Uri Rechenschaftsbericht über die Rechtspflege 31.05.1996 94/95 13 Uri Rechenschaftsbericht über die Rechtspflege 31.05.1996 94/95 13</w:t>
      </w:r>
    </w:p>
    <w:p>
      <w:r>
        <w:t>Art. 64 i.V.m. Art. 49 VRPV. | Art. 64 i.V.m. Art. 49 VRPV. Verwaltungsgerichtsbeschwerde. Inhalt der Beschwerdeschrift. Fristansetzung für Mängelbehebung. Im Prozess sich aus dem Grundsatz von Treu und Glauben ableitende Pflicht, die notwendigen Vorkehrungen zu treffen, damit behördliche Akten zugestellt werden können.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