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11 vom 8. November 1995</w:t>
      </w:r>
    </w:p>
    <w:p>
      <w:r>
        <w:t>UR Obergericht, 1995-11-08, DE</w:t>
      </w:r>
    </w:p>
    <w:p>
      <w:r>
        <w:rPr>
          <w:b/>
        </w:rPr>
        <w:t xml:space="preserve">Quelle: </w:t>
      </w:r>
      <w:r>
        <w:t>https://mcp.opencaselaw.ch/entscheid/ur_gerichte_94_95_11</w:t>
      </w:r>
    </w:p>
    <w:p>
      <w:r>
        <w:t>FR: UR_GERICHTE 94/95 11 du 8 novembre 1995</w:t>
      </w:r>
    </w:p>
    <w:p>
      <w:r>
        <w:t>IT: UR_GERICHTE 94/95 11 del 8 novembre 1995</w:t>
      </w:r>
    </w:p>
    <w:p>
      <w:pPr>
        <w:pStyle w:val="Heading2"/>
      </w:pPr>
      <w:r>
        <w:t>Regeste</w:t>
      </w:r>
    </w:p>
    <w:p>
      <w:r>
        <w:t>Art. 100 Ziff. 2 Abs. 1 SVG. | Art. 100 Ziff. 2 Abs. 1 SVG. Beförderung gefährlicher Güter auf der Strasse (SDR). Strafrechtliche Verantwortung der Disponentin.</w:t>
      </w:r>
    </w:p>
    <w:p>
      <w:pPr>
        <w:pStyle w:val="Heading2"/>
      </w:pPr>
      <w:r>
        <w:t>Volltext</w:t>
      </w:r>
    </w:p>
    <w:p>
      <w:r>
        <w:t>Uri Rechenschaftsbericht über die Rechtspflege 08.11.1995 94/95 11 Uri Rechenschaftsbericht über die Rechtspflege 08.11.1995 94/95 11 Uri Rechenschaftsbericht über die Rechtspflege 08.11.1995 94/95 11</w:t>
      </w:r>
    </w:p>
    <w:p>
      <w:r>
        <w:t>Art. 100 Ziff. 2 Abs. 1 SVG. | Art. 100 Ziff. 2 Abs. 1 SVG. Beförderung gefährlicher Güter auf der Strasse (SDR). Strafrechtliche Verantwortung der Disponentin.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