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94/95 10 vom 17. April 1996</w:t>
      </w:r>
    </w:p>
    <w:p>
      <w:r>
        <w:t>UR Obergericht, 1996-04-17, DE</w:t>
      </w:r>
    </w:p>
    <w:p>
      <w:r>
        <w:rPr>
          <w:b/>
        </w:rPr>
        <w:t xml:space="preserve">Quelle: </w:t>
      </w:r>
      <w:r>
        <w:t>https://mcp.opencaselaw.ch/entscheid/ur_gerichte_94_95_10</w:t>
      </w:r>
    </w:p>
    <w:p>
      <w:r>
        <w:t>FR: UR_GERICHTE 94/95 10 du 17 avril 1996</w:t>
      </w:r>
    </w:p>
    <w:p>
      <w:r>
        <w:t>IT: UR_GERICHTE 94/95 10 del 17 aprile 1996</w:t>
      </w:r>
    </w:p>
    <w:p>
      <w:pPr>
        <w:pStyle w:val="Heading2"/>
      </w:pPr>
      <w:r>
        <w:t>Regeste</w:t>
      </w:r>
    </w:p>
    <w:p>
      <w:r>
        <w:t>Art. 198 Abs. 3 StPO. | Art. 198 Abs. 3 StPO. Mit Eintritt der Rechtskraft des Abwesenheitsurteils beginnt die Vollstreckungsverjährung. Diese fällt mit der Aufhebung des Kontumazialurteils dahin. Die Verfolgungsverjährung, die in der Zwischenzeit geruht hat, beginnt wieder zu laufen.</w:t>
      </w:r>
    </w:p>
    <w:p>
      <w:pPr>
        <w:pStyle w:val="Heading2"/>
      </w:pPr>
      <w:r>
        <w:t>Volltext</w:t>
      </w:r>
    </w:p>
    <w:p>
      <w:r>
        <w:t>Uri Rechenschaftsbericht über die Rechtspflege 17.04.1996 94/95 10 Uri Rechenschaftsbericht über die Rechtspflege 17.04.1996 94/95 10 Uri Rechenschaftsbericht über die Rechtspflege 17.04.1996 94/95 10</w:t>
      </w:r>
    </w:p>
    <w:p>
      <w:r>
        <w:t>Art. 198 Abs. 3 StPO. | Art. 198 Abs. 3 StPO. Mit Eintritt der Rechtskraft des Abwesenheitsurteils beginnt die Vollstreckungsverjährung. Diese fällt mit der Aufhebung des Kontumazialurteils dahin. Die Verfolgungsverjährung, die in der Zwischenzeit geruht hat, beginnt wieder zu laufen.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