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94/95 09 vom 10. Januar 1996</w:t>
      </w:r>
    </w:p>
    <w:p>
      <w:r>
        <w:t>UR Obergericht, 1996-01-10, DE</w:t>
      </w:r>
    </w:p>
    <w:p>
      <w:r>
        <w:rPr>
          <w:b/>
        </w:rPr>
        <w:t xml:space="preserve">Quelle: </w:t>
      </w:r>
      <w:r>
        <w:t>https://mcp.opencaselaw.ch/entscheid/ur_gerichte_94_95_09</w:t>
      </w:r>
    </w:p>
    <w:p>
      <w:r>
        <w:t>FR: UR_GERICHTE 94/95 09 du 10 janvier 1996</w:t>
      </w:r>
    </w:p>
    <w:p>
      <w:r>
        <w:t>IT: UR_GERICHTE 94/95 09 del 10 gennaio 1996</w:t>
      </w:r>
    </w:p>
    <w:p>
      <w:pPr>
        <w:pStyle w:val="Heading2"/>
      </w:pPr>
      <w:r>
        <w:t>Regeste</w:t>
      </w:r>
    </w:p>
    <w:p>
      <w:r>
        <w:t>Art. 226 Abs. 1 StPO. | Art. 226 Abs. 1 StPO. Erscheinungspflicht des Berufungsklägers. Bleibt der Berufungskläger der mündlichen Verhandlung ohne Einverständnis des Gerichts fern, so gilt die Berufung als zurückgezogen.</w:t>
      </w:r>
    </w:p>
    <w:p>
      <w:pPr>
        <w:pStyle w:val="Heading2"/>
      </w:pPr>
      <w:r>
        <w:t>Volltext</w:t>
      </w:r>
    </w:p>
    <w:p>
      <w:r>
        <w:t>Uri Rechenschaftsbericht über die Rechtspflege 10.01.1996 94/95 09 Uri Rechenschaftsbericht über die Rechtspflege 10.01.1996 94/95 09 Uri Rechenschaftsbericht über die Rechtspflege 10.01.1996 94/95 09</w:t>
      </w:r>
    </w:p>
    <w:p>
      <w:r>
        <w:t>Art. 226 Abs. 1 StPO. | Art. 226 Abs. 1 StPO. Erscheinungspflicht des Berufungsklägers. Bleibt der Berufungskläger der mündlichen Verhandlung ohne Einverständnis des Gerichts fern, so gilt die Berufung als zurückgezogen.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