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03 vom 27. August 1996</w:t>
      </w:r>
    </w:p>
    <w:p>
      <w:r>
        <w:t>UR Obergericht, 1996-08-27, DE</w:t>
      </w:r>
    </w:p>
    <w:p>
      <w:r>
        <w:rPr>
          <w:b/>
        </w:rPr>
        <w:t xml:space="preserve">Quelle: </w:t>
      </w:r>
      <w:r>
        <w:t>https://mcp.opencaselaw.ch/entscheid/ur_gerichte_94_95_03</w:t>
      </w:r>
    </w:p>
    <w:p>
      <w:r>
        <w:t>FR: UR_GERICHTE 94/95 03 du 27 août 1996</w:t>
      </w:r>
    </w:p>
    <w:p>
      <w:r>
        <w:t>IT: UR_GERICHTE 94/95 03 del 27 agosto 1996</w:t>
      </w:r>
    </w:p>
    <w:p>
      <w:pPr>
        <w:pStyle w:val="Heading2"/>
      </w:pPr>
      <w:r>
        <w:t>Regeste</w:t>
      </w:r>
    </w:p>
    <w:p>
      <w:r>
        <w:t>Art. 121 ff. ZPO. | Art. 121 ff. ZPO. Voraussetzungen für die Bewilligung der unentgeltlichen Rechtspflege. Berücksichtigung von privat- und öffentlichrechtlichen Verpflichtungen. Pflicht zur Aufnahme eines Hypothekarkredites für die Prozessfinanzierung. Nichtaussichtslosigkeit des Rechtsbegehrens. Sachliche Gebotenheit der Verbeiständung. Rückwirkung der Bewilligung auf den Zeitpunkt der Gesuchseinreichung. Notwendigkeit der anwaltlichen Aufwendungen.</w:t>
      </w:r>
    </w:p>
    <w:p>
      <w:pPr>
        <w:pStyle w:val="Heading2"/>
      </w:pPr>
      <w:r>
        <w:t>Volltext</w:t>
      </w:r>
    </w:p>
    <w:p>
      <w:r>
        <w:t>Uri Rechenschaftsbericht über die Rechtspflege 27.08.1996 94/95 03 Uri Rechenschaftsbericht über die Rechtspflege 27.08.1996 94/95 03 Uri Rechenschaftsbericht über die Rechtspflege 27.08.1996 94/95 03</w:t>
      </w:r>
    </w:p>
    <w:p>
      <w:r>
        <w:t>Art. 121 ff. ZPO. | Art. 121 ff. ZPO. Voraussetzungen für die Bewilligung der unentgeltlichen Rechtspflege. Berücksichtigung von privat- und öffentlichrechtlichen Verpflichtungen. Pflicht zur Aufnahme eines Hypothekarkredites für die Prozessfinanzierung. Nichtaussichtslosigkeit des Rechtsbegehrens. Sachliche Gebotenheit der Verbeiständung. Rückwirkung der Bewilligung auf den Zeitpunkt der Gesuchseinreichung. Notwendigkeit der anwaltlichen Aufwendungen.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