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2024_OG V 23 45 vom 12. Januar 2024</w:t>
      </w:r>
    </w:p>
    <w:p>
      <w:r>
        <w:t>UR Obergericht, 2024-01-12, DE</w:t>
      </w:r>
    </w:p>
    <w:p>
      <w:r>
        <w:rPr>
          <w:b/>
        </w:rPr>
        <w:t xml:space="preserve">Quelle: </w:t>
      </w:r>
      <w:r>
        <w:t>https://mcp.opencaselaw.ch/entscheid/ur_gerichte_2024_OG_V_23_45</w:t>
      </w:r>
    </w:p>
    <w:p>
      <w:r>
        <w:t>FR: UR_GERICHTE 2024_OG V 23 45 du 12 janvier 2024</w:t>
      </w:r>
    </w:p>
    <w:p>
      <w:r>
        <w:t>IT: UR_GERICHTE 2024_OG V 23 45 del 12 gennaio 2024</w:t>
      </w:r>
    </w:p>
    <w:p>
      <w:pPr>
        <w:pStyle w:val="Heading2"/>
      </w:pPr>
      <w:r>
        <w:t>Regeste</w:t>
      </w:r>
    </w:p>
    <w:p>
      <w:r>
        <w:t>Vergabeverfahren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Interkantonale Vereinbarung über das öffentliche Beschaffungswesen (IVöB) vom 15. November 2019 trat für den Kanton Uri am 1. Juni 2023 in Kraft; die frühere kantonale Submissionsverordnung (SubV, RB 3.3112) wurde per gleichen Datums aufgehoben (vgl. amtliche Sammlung des Urner Rechts- buches 2023, online einsehbar). Vergabeverfahren, die nach Inkrafttreten der IVöB eingeleitet wurden, werden nach der IVöB geführt (Art. 64 Abs. 1 IVöB Umkehrschluss). Die Zuständigkeit des Obergerichts des Kantons Uri (Verwaltungsrechtliche Abteilung) ergibt sich aus Art. 52 Abs. 1 IVöB i.V.m. Art. 37f Gesetz über die Organisation der richterlichen Behörden (Gerichtsorganisationsgesetz [GOG, RB 2.3221]). Die Zuständigkeit der Vorsitzenden der Abteilung ergibt sich aus Art. 37g i.V.m. Art. 25a Abs.</w:t>
      </w:r>
    </w:p>
    <w:p>
      <w:r>
        <w:rPr>
          <w:b/>
        </w:rPr>
        <w:t>E. 3</w:t>
      </w:r>
    </w:p>
    <w:p>
      <w:r>
        <w:t>Über die Verfahrenskosten ist mit der Hauptsache zu entschieden.</w:t>
      </w:r>
    </w:p>
    <w:p>
      <w:r>
        <w:t>Seite 6 von 6 Das Obergericht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